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69AE" w14:textId="3585C9D6" w:rsidR="005B5307" w:rsidRDefault="0055058D" w:rsidP="008078DA">
      <w:pPr>
        <w:spacing w:before="120" w:after="120" w:line="340" w:lineRule="atLeast"/>
        <w:jc w:val="center"/>
        <w:rPr>
          <w:b/>
          <w:bCs/>
          <w:sz w:val="24"/>
          <w:szCs w:val="24"/>
        </w:rPr>
      </w:pPr>
      <w:r>
        <w:rPr>
          <w:b/>
          <w:bCs/>
          <w:sz w:val="24"/>
          <w:szCs w:val="24"/>
        </w:rPr>
        <w:t xml:space="preserve">Ασκήσεις </w:t>
      </w:r>
      <w:r w:rsidR="00DB6C07">
        <w:rPr>
          <w:b/>
          <w:bCs/>
          <w:sz w:val="24"/>
          <w:szCs w:val="24"/>
        </w:rPr>
        <w:t>Δημόσιο Μάνατζμεντ</w:t>
      </w:r>
      <w:r w:rsidR="00AE36FC" w:rsidRPr="00AE36FC">
        <w:rPr>
          <w:b/>
          <w:bCs/>
          <w:sz w:val="24"/>
          <w:szCs w:val="24"/>
        </w:rPr>
        <w:t xml:space="preserve"> – </w:t>
      </w:r>
      <w:r w:rsidR="00DB6C07">
        <w:rPr>
          <w:b/>
          <w:bCs/>
          <w:sz w:val="24"/>
          <w:szCs w:val="24"/>
        </w:rPr>
        <w:t>30</w:t>
      </w:r>
      <w:r w:rsidR="00AE36FC" w:rsidRPr="00AE36FC">
        <w:rPr>
          <w:b/>
          <w:bCs/>
          <w:sz w:val="24"/>
          <w:szCs w:val="24"/>
        </w:rPr>
        <w:t>/</w:t>
      </w:r>
      <w:r w:rsidR="00DB6C07">
        <w:rPr>
          <w:b/>
          <w:bCs/>
          <w:sz w:val="24"/>
          <w:szCs w:val="24"/>
        </w:rPr>
        <w:t>11</w:t>
      </w:r>
      <w:r w:rsidR="00AE36FC" w:rsidRPr="00AE36FC">
        <w:rPr>
          <w:b/>
          <w:bCs/>
          <w:sz w:val="24"/>
          <w:szCs w:val="24"/>
        </w:rPr>
        <w:t>/2023</w:t>
      </w:r>
    </w:p>
    <w:p w14:paraId="6213D935" w14:textId="77777777" w:rsidR="0055058D" w:rsidRDefault="0055058D" w:rsidP="008078DA">
      <w:pPr>
        <w:spacing w:before="120" w:after="120" w:line="340" w:lineRule="atLeast"/>
        <w:jc w:val="center"/>
        <w:rPr>
          <w:b/>
          <w:bCs/>
          <w:sz w:val="24"/>
          <w:szCs w:val="24"/>
        </w:rPr>
      </w:pPr>
    </w:p>
    <w:p w14:paraId="69250605" w14:textId="3F5B920C" w:rsidR="0055058D" w:rsidRDefault="0055058D" w:rsidP="0055058D">
      <w:pPr>
        <w:spacing w:before="120" w:after="120" w:line="340" w:lineRule="atLeast"/>
        <w:rPr>
          <w:b/>
          <w:bCs/>
          <w:sz w:val="24"/>
          <w:szCs w:val="24"/>
        </w:rPr>
      </w:pPr>
      <w:r>
        <w:rPr>
          <w:b/>
          <w:bCs/>
          <w:sz w:val="24"/>
          <w:szCs w:val="24"/>
        </w:rPr>
        <w:t xml:space="preserve">Κοινωνική Αλληλεγγύη </w:t>
      </w:r>
    </w:p>
    <w:p w14:paraId="7AA6E6DD" w14:textId="77777777" w:rsidR="0055058D" w:rsidRDefault="0055058D" w:rsidP="0055058D">
      <w:pPr>
        <w:spacing w:before="120" w:after="120" w:line="340" w:lineRule="atLeast"/>
        <w:jc w:val="both"/>
        <w:rPr>
          <w:rFonts w:eastAsia="+mn-ea" w:cstheme="minorHAnsi"/>
          <w:color w:val="000000"/>
          <w:kern w:val="24"/>
          <w:sz w:val="24"/>
          <w:szCs w:val="24"/>
          <w:lang w:eastAsia="el-GR"/>
        </w:rPr>
      </w:pPr>
      <w:r w:rsidRPr="0055058D">
        <w:rPr>
          <w:rFonts w:eastAsia="+mn-ea" w:cstheme="minorHAnsi"/>
          <w:color w:val="000000"/>
          <w:kern w:val="24"/>
          <w:sz w:val="24"/>
          <w:szCs w:val="24"/>
          <w:lang w:eastAsia="el-GR"/>
        </w:rPr>
        <w:t xml:space="preserve">Η κοινωνική αλληλεγγύη αποτελεί δημόσιο οργανισμό που παρέχει υπηρεσίες κοινωνικής προστασίας – παροχής επιδομάτων και προώθησης στην αγορά εργασίας, σε μέλη ευάλωτων κοινωνικών ομάδων. Ο φορέας είναι στελεχωμένος με 67 στελέχη, εκ των οποίων τα 9 είναι κοινωνικοί λειτουργοί και τα 4 εξειδικευμένα στελέχη σε θέματα απασχόλησης ευάλωτων κοινωνικών ομάδων. Τα στελέχη του φορέα είναι κατανεμημένα σε 7 γενικές διευθύνσεις, 20 διευθύνσεις και 43 τμήματα. Η κάθε γενική διεύθυνση του φορέα, έχει το δικό της αυτοτελές πρόγραμμα παροχής υπηρεσιών και οι παρεχόμενες υπηρεσίες φορέα είναι σε ποσοστό 85% συναρμοδιότητες. Το αρχικό σχέδιο στελέχωσης του φορέα προέβλεπε τη στελέχωση του με 95 στελέχη. Η κοινωνική αλληλεγγύη παρέχει τις υπηρεσίες της προς τις ευάλωτες κοινωνικές ομάδες, μέσω των 13 περιφερειακών υπηρεσιών της, όπου η κάθε μία έχει το δικό της στρατηγικό προγραμματισμό. Τα πληροφοριακά συστήματα της κοινωνικής αλληλεγγύης, σχεδιάστηκαν και λειτουργούν από το 2008. </w:t>
      </w:r>
    </w:p>
    <w:p w14:paraId="49C6D899" w14:textId="77777777" w:rsidR="0055058D" w:rsidRDefault="0055058D" w:rsidP="0055058D">
      <w:pPr>
        <w:spacing w:before="120" w:after="120" w:line="340" w:lineRule="atLeast"/>
        <w:jc w:val="both"/>
        <w:rPr>
          <w:rFonts w:eastAsia="+mn-ea" w:cstheme="minorHAnsi"/>
          <w:color w:val="000000"/>
          <w:kern w:val="24"/>
          <w:sz w:val="24"/>
          <w:szCs w:val="24"/>
          <w:lang w:eastAsia="el-GR"/>
        </w:rPr>
      </w:pPr>
      <w:r w:rsidRPr="0055058D">
        <w:rPr>
          <w:rFonts w:eastAsia="+mn-ea" w:cstheme="minorHAnsi"/>
          <w:color w:val="000000"/>
          <w:kern w:val="24"/>
          <w:sz w:val="24"/>
          <w:szCs w:val="24"/>
          <w:lang w:eastAsia="el-GR"/>
        </w:rPr>
        <w:t xml:space="preserve">Ο φορέας αξιολογεί τις υπηρεσίες τους, σύμφωνα με τον αριθμό των ωφελούμενων που εξυπηρετεί και την εκτέλεση του προϋπολογισμού του. Σύμφωνα με την έκθεση απολογισμού του φορέα, η κοινωνική αλληλεγγύη παρείχε επιδόματα σε 45.000 μέλη ευάλωτων κοινωνικών ομάδων έναντι του αρχικού στόχου των 46.000, κατάρτισε συνολικά 15.000 ωφελούμενους, κάθε ωφελούμενος καταρτίστηκε σε 18 διαφορετικά αντικείμενα μέσω 150 ωρών συνολικής κατάρτισης, βρήκε εργασία σε 500 ωφελούμενους και απορρόφησε τον προϋπολογισμό της σε ποσοστό 80%. Στη νέα προγραμματική περίοδο αποτελεί προτεραιότητα για την Ευρωπαϊκή Ένωση η κοινωνική ενσωμάτωση και η προώθηση της απασχόλησης για τις ευάλωτες κοινωνικές ομάδες και για το λόγο αυτό χρηματοδοτεί δύο νέα προγράμματα, συνολικού προϋπολογισμού 30.000.000.0000 ευρώ. Για την Ελληνική κυβέρνηση αποτελεί πολιτική προτεραιότητα για τη νέα προγραμματική περίοδο η κοινωνική ενσωμάτωση και η προώθηση της απασχόλησης των ευάλωτων κοινωνικών ομάδων και για το λόγο αυτό σχεδίασε και θα χρηματοδοτήσει 4 νέα εθνικά προγράμματα, μέσω των πόρων της Ευρωπαϊκής Ένωσης. </w:t>
      </w:r>
    </w:p>
    <w:p w14:paraId="3C1EBCAB" w14:textId="6C704E1B" w:rsidR="0055058D" w:rsidRDefault="0055058D" w:rsidP="0055058D">
      <w:pPr>
        <w:spacing w:before="120" w:after="120" w:line="340" w:lineRule="atLeast"/>
        <w:jc w:val="both"/>
        <w:rPr>
          <w:rFonts w:eastAsia="+mn-ea" w:cstheme="minorHAnsi"/>
          <w:color w:val="000000"/>
          <w:kern w:val="24"/>
          <w:sz w:val="24"/>
          <w:szCs w:val="24"/>
          <w:lang w:eastAsia="el-GR"/>
        </w:rPr>
      </w:pPr>
      <w:r w:rsidRPr="0055058D">
        <w:rPr>
          <w:rFonts w:eastAsia="+mn-ea" w:cstheme="minorHAnsi"/>
          <w:color w:val="000000"/>
          <w:kern w:val="24"/>
          <w:sz w:val="24"/>
          <w:szCs w:val="24"/>
          <w:lang w:eastAsia="el-GR"/>
        </w:rPr>
        <w:t xml:space="preserve">Στη νέα προγραμματική περίοδο υπηρεσίες κοινωνικής ενσωμάτωσης και απασχόλησης προς τις ευάλωτες κοινωνικές ομάδες, παρέχουν ο ΟΑΕΔ, οι κοινωνικές υπηρεσίες των δήμων, οι κοινωνικές υπηρεσίες των Περιφερειών και η κοινωνική προστασία ΑΕ, ένα νέο νομικό πρόσωπο του Υπουργείου Υγείας. Λόγω της οικονομικής κρίσης τα μέλη των ευάλωτων κοινωνικών ομάδων που χρήζουν οικονομικής βοήθειας έχουν αυξηθεί κατά 20%. </w:t>
      </w:r>
    </w:p>
    <w:p w14:paraId="099629C0" w14:textId="77777777" w:rsidR="0055058D" w:rsidRDefault="0055058D" w:rsidP="0055058D">
      <w:pPr>
        <w:spacing w:before="120" w:after="120" w:line="340" w:lineRule="atLeast"/>
        <w:jc w:val="both"/>
        <w:rPr>
          <w:rFonts w:eastAsia="+mn-ea" w:cstheme="minorHAnsi"/>
          <w:color w:val="000000"/>
          <w:kern w:val="24"/>
          <w:sz w:val="24"/>
          <w:szCs w:val="24"/>
          <w:lang w:eastAsia="el-GR"/>
        </w:rPr>
      </w:pPr>
    </w:p>
    <w:p w14:paraId="1A3F34A5" w14:textId="77777777" w:rsidR="0055058D" w:rsidRPr="0055058D" w:rsidRDefault="0055058D" w:rsidP="0055058D">
      <w:pPr>
        <w:spacing w:before="120" w:after="120" w:line="340" w:lineRule="atLeast"/>
        <w:jc w:val="both"/>
        <w:rPr>
          <w:rFonts w:eastAsia="+mn-ea" w:cstheme="minorHAnsi"/>
          <w:color w:val="000000"/>
          <w:kern w:val="24"/>
          <w:sz w:val="24"/>
          <w:szCs w:val="24"/>
          <w:lang w:eastAsia="el-GR"/>
        </w:rPr>
      </w:pPr>
    </w:p>
    <w:p w14:paraId="0238CF2E" w14:textId="77777777" w:rsidR="0055058D" w:rsidRPr="0055058D" w:rsidRDefault="0055058D" w:rsidP="0055058D">
      <w:pPr>
        <w:spacing w:before="120" w:after="120" w:line="340" w:lineRule="atLeast"/>
        <w:jc w:val="both"/>
        <w:rPr>
          <w:b/>
          <w:bCs/>
          <w:sz w:val="24"/>
          <w:szCs w:val="24"/>
        </w:rPr>
      </w:pPr>
      <w:r w:rsidRPr="0055058D">
        <w:rPr>
          <w:b/>
          <w:bCs/>
          <w:sz w:val="24"/>
          <w:szCs w:val="24"/>
        </w:rPr>
        <w:t>Ερωτήσεις προς απάντηση:</w:t>
      </w:r>
    </w:p>
    <w:p w14:paraId="16299015" w14:textId="53892C1A" w:rsidR="0055058D" w:rsidRPr="0055058D" w:rsidRDefault="0055058D" w:rsidP="0055058D">
      <w:pPr>
        <w:pStyle w:val="ListParagraph"/>
        <w:numPr>
          <w:ilvl w:val="0"/>
          <w:numId w:val="3"/>
        </w:numPr>
        <w:spacing w:before="120" w:after="120" w:line="340" w:lineRule="atLeast"/>
        <w:ind w:left="714" w:hanging="357"/>
        <w:jc w:val="both"/>
        <w:rPr>
          <w:sz w:val="24"/>
          <w:szCs w:val="24"/>
        </w:rPr>
      </w:pPr>
      <w:r w:rsidRPr="0055058D">
        <w:rPr>
          <w:sz w:val="24"/>
          <w:szCs w:val="24"/>
        </w:rPr>
        <w:t xml:space="preserve">Αναλύστε τα σημαντικότερα προβλήματα, προκλήσεις, ευκαιρίες και απειλές στη λειτουργία της Κοινωνικής αλληλεγγύης. </w:t>
      </w:r>
    </w:p>
    <w:p w14:paraId="2CF3F281" w14:textId="77777777" w:rsidR="0055058D" w:rsidRDefault="0055058D" w:rsidP="0055058D">
      <w:pPr>
        <w:pStyle w:val="ListParagraph"/>
        <w:numPr>
          <w:ilvl w:val="0"/>
          <w:numId w:val="3"/>
        </w:numPr>
        <w:spacing w:before="120" w:after="120" w:line="340" w:lineRule="atLeast"/>
        <w:ind w:left="714" w:hanging="357"/>
        <w:jc w:val="both"/>
        <w:rPr>
          <w:sz w:val="24"/>
          <w:szCs w:val="24"/>
        </w:rPr>
      </w:pPr>
      <w:r w:rsidRPr="0055058D">
        <w:rPr>
          <w:sz w:val="24"/>
          <w:szCs w:val="24"/>
        </w:rPr>
        <w:t xml:space="preserve">Είναι αποτελεσματικός ο φορέας? </w:t>
      </w:r>
    </w:p>
    <w:p w14:paraId="33BFDD2C" w14:textId="77777777" w:rsidR="0055058D" w:rsidRDefault="0055058D" w:rsidP="0055058D">
      <w:pPr>
        <w:pStyle w:val="ListParagraph"/>
        <w:numPr>
          <w:ilvl w:val="0"/>
          <w:numId w:val="3"/>
        </w:numPr>
        <w:spacing w:before="120" w:after="120" w:line="340" w:lineRule="atLeast"/>
        <w:ind w:left="714" w:hanging="357"/>
        <w:jc w:val="both"/>
        <w:rPr>
          <w:sz w:val="24"/>
          <w:szCs w:val="24"/>
        </w:rPr>
      </w:pPr>
      <w:r w:rsidRPr="0055058D">
        <w:rPr>
          <w:sz w:val="24"/>
          <w:szCs w:val="24"/>
        </w:rPr>
        <w:t>Παρουσιάστε ένα στρατηγικό στόχο για τη κοινωνική αλληλεγγύη και τεκμηριώστε γιατί αποτελεί στρατηγικό στόχο για το φορέα (2 βαθμοί)</w:t>
      </w:r>
    </w:p>
    <w:p w14:paraId="035DE95A" w14:textId="4CE2CC2E" w:rsidR="0055058D" w:rsidRPr="0055058D" w:rsidRDefault="0055058D" w:rsidP="0055058D">
      <w:pPr>
        <w:pStyle w:val="ListParagraph"/>
        <w:numPr>
          <w:ilvl w:val="0"/>
          <w:numId w:val="3"/>
        </w:numPr>
        <w:spacing w:before="120" w:after="120" w:line="340" w:lineRule="atLeast"/>
        <w:ind w:left="714" w:hanging="357"/>
        <w:jc w:val="both"/>
        <w:rPr>
          <w:sz w:val="24"/>
          <w:szCs w:val="24"/>
        </w:rPr>
      </w:pPr>
      <w:r w:rsidRPr="0055058D">
        <w:rPr>
          <w:sz w:val="24"/>
          <w:szCs w:val="24"/>
        </w:rPr>
        <w:t>Αναφέρετε ένα δείκτη εκροής και ένα δείκτη αποτελέσματος για μία πολιτική / υπηρεσία της Κοινωνικής αλληλεγγύης (2 βαθμοί)</w:t>
      </w:r>
    </w:p>
    <w:p w14:paraId="52C948CF" w14:textId="77777777" w:rsidR="0055058D" w:rsidRDefault="0055058D" w:rsidP="008078DA">
      <w:pPr>
        <w:spacing w:before="120" w:after="120" w:line="340" w:lineRule="atLeast"/>
        <w:jc w:val="both"/>
        <w:rPr>
          <w:b/>
          <w:bCs/>
          <w:sz w:val="24"/>
          <w:szCs w:val="24"/>
        </w:rPr>
      </w:pPr>
    </w:p>
    <w:p w14:paraId="4EAEAEC0" w14:textId="77777777" w:rsidR="0055058D" w:rsidRDefault="0055058D" w:rsidP="008078DA">
      <w:pPr>
        <w:spacing w:before="120" w:after="120" w:line="340" w:lineRule="atLeast"/>
        <w:jc w:val="both"/>
        <w:rPr>
          <w:b/>
          <w:bCs/>
          <w:sz w:val="24"/>
          <w:szCs w:val="24"/>
        </w:rPr>
      </w:pPr>
    </w:p>
    <w:p w14:paraId="56F7FCDF" w14:textId="3204E726" w:rsidR="00AE36FC" w:rsidRDefault="008078DA" w:rsidP="008078DA">
      <w:pPr>
        <w:spacing w:before="120" w:after="120" w:line="340" w:lineRule="atLeast"/>
        <w:jc w:val="both"/>
        <w:rPr>
          <w:b/>
          <w:bCs/>
          <w:sz w:val="24"/>
          <w:szCs w:val="24"/>
        </w:rPr>
      </w:pPr>
      <w:r>
        <w:rPr>
          <w:b/>
          <w:bCs/>
          <w:sz w:val="24"/>
          <w:szCs w:val="24"/>
        </w:rPr>
        <w:t xml:space="preserve">ΕΚΕΦΕ Δημόκριτος </w:t>
      </w:r>
    </w:p>
    <w:p w14:paraId="310C4E5E" w14:textId="18451209" w:rsidR="008078DA" w:rsidRPr="008078DA" w:rsidRDefault="00590051" w:rsidP="00B301A9">
      <w:pPr>
        <w:spacing w:before="120" w:after="120" w:line="340" w:lineRule="atLeast"/>
        <w:jc w:val="both"/>
        <w:rPr>
          <w:sz w:val="24"/>
          <w:szCs w:val="24"/>
        </w:rPr>
      </w:pPr>
      <w:r>
        <w:rPr>
          <w:sz w:val="24"/>
          <w:szCs w:val="24"/>
        </w:rPr>
        <w:t xml:space="preserve">Η αποτελεσματικότητα της πολιτικής για την έρευνα &amp; καινοτομία στην Ελλάδα, αξιολογείται σημαντικά κάτω του μέσου όρου της Ε.Ε, ενώ παράλληλα υπολείπεται σε δημόσια χρηματοδότηση κατά 28% του μέσου όρου της Ε.Ε, ενώ και οι ιδιωτικές επενδύσεις και επιχορηγήσεις αποτελούν μόλις το 12% της συνολικής χρηματοδότησης (μέσος όρος ΕΕ 31%). Το ρυθμιστικό πλαίσιο για την έρευνα &amp; καινοτομία χαρακτηρίζεται ως ιδιαίτερα γραφειοκρατικό, ενώ ιδιαίτερα σημαντικοί φραγμοί παρουσιάζονται ως προς την πρόσβαση των καινοτόμων επιχειρήσεων και των </w:t>
      </w:r>
      <w:r>
        <w:rPr>
          <w:sz w:val="24"/>
          <w:szCs w:val="24"/>
          <w:lang w:val="en-US"/>
        </w:rPr>
        <w:t>spin</w:t>
      </w:r>
      <w:r w:rsidRPr="00590051">
        <w:rPr>
          <w:sz w:val="24"/>
          <w:szCs w:val="24"/>
        </w:rPr>
        <w:t xml:space="preserve"> </w:t>
      </w:r>
      <w:r>
        <w:rPr>
          <w:sz w:val="24"/>
          <w:szCs w:val="24"/>
        </w:rPr>
        <w:t>–</w:t>
      </w:r>
      <w:r w:rsidRPr="00590051">
        <w:rPr>
          <w:sz w:val="24"/>
          <w:szCs w:val="24"/>
        </w:rPr>
        <w:t xml:space="preserve"> </w:t>
      </w:r>
      <w:r>
        <w:rPr>
          <w:sz w:val="24"/>
          <w:szCs w:val="24"/>
          <w:lang w:val="en-US"/>
        </w:rPr>
        <w:t>off</w:t>
      </w:r>
      <w:r w:rsidRPr="00590051">
        <w:rPr>
          <w:sz w:val="24"/>
          <w:szCs w:val="24"/>
        </w:rPr>
        <w:t xml:space="preserve"> </w:t>
      </w:r>
      <w:r>
        <w:rPr>
          <w:sz w:val="24"/>
          <w:szCs w:val="24"/>
        </w:rPr>
        <w:t xml:space="preserve">επιχειρήσεων στη χρηματοδότηση από το τραπεζικό σύστημα και τους φορείς χρηματοδότησης. Η διασύνδεση των δημόσιων ερευνητικών κέντρων με την αγορά εργασίας και τις επιχειρήσεις, είναι ιδιαίτερα προβληματική, ενώ δεν παρουσιάζονται ισχυρή δεσμοί και με την τοπική οικονομία και την τοπική αυτοδιοίκηση. Η Ελλάδα διαθέτει ένα επιστημονικό ανθρώπινο δυναμικό, ιδιαίτερα καταρτισμένο σε θέματα έρευνας &amp; καινοτομίας, με ισχυρή επιστημονική παρουσία σε επίπεδο δημοσιεύσεων και </w:t>
      </w:r>
      <w:r w:rsidR="00B301A9">
        <w:rPr>
          <w:sz w:val="24"/>
          <w:szCs w:val="24"/>
        </w:rPr>
        <w:t>συμμετοχής σε διεθνή ερευνητικά προγράμματα, ενώ επιπρόσθετα θετικά μπορεί να λειτουργήσει η υψηλού επιπέδου διασπορά και το φυσικό περιβάλλον.</w:t>
      </w:r>
    </w:p>
    <w:p w14:paraId="4FB2D510" w14:textId="2E2B1C58" w:rsidR="008078DA" w:rsidRDefault="008078DA" w:rsidP="00F02E21">
      <w:pPr>
        <w:pStyle w:val="NormalWeb"/>
        <w:kinsoku w:val="0"/>
        <w:overflowPunct w:val="0"/>
        <w:spacing w:before="120" w:beforeAutospacing="0" w:after="120" w:afterAutospacing="0" w:line="340" w:lineRule="atLeast"/>
        <w:jc w:val="both"/>
        <w:textAlignment w:val="baseline"/>
        <w:rPr>
          <w:rFonts w:asciiTheme="minorHAnsi" w:eastAsiaTheme="minorHAnsi" w:hAnsiTheme="minorHAnsi" w:cstheme="minorHAnsi"/>
          <w:lang w:eastAsia="en-US"/>
        </w:rPr>
      </w:pPr>
      <w:r w:rsidRPr="008078DA">
        <w:rPr>
          <w:rFonts w:asciiTheme="minorHAnsi" w:eastAsia="+mn-ea" w:hAnsiTheme="minorHAnsi" w:cstheme="minorHAnsi"/>
          <w:color w:val="000000"/>
          <w:kern w:val="24"/>
        </w:rPr>
        <w:t>Ο Δημόκριτος αποτελεί το μεγαλύτερο διεπιστημονικό Ερευνητικό Κέντρο της Ελλάδας με περίπου 180 Ερευνητές και Ειδικούς Λειτουργικούς Επιστήμονες και περισσότερα από 500 άτομα ερευνητικό προσωπικό. Στο Κέντρο λειτουργούν πέντε ανεξάρτητα Ινστιτούτα που επικεντρώνουν την έρευνά τους σε διαφορετικούς επιστημονικούς τομείς. Διοικείται από το Διοικητικό Συμβούλιο του Κέντρου και εποπτεύεται από τη Γενική Γραμματεία Έρευνας και Καινοτομίας, η οποία ανήκει στο Υπουργείο Ανάπτυξης &amp; Επενδύσεων.</w:t>
      </w:r>
      <w:r w:rsidR="00F02E21">
        <w:rPr>
          <w:rFonts w:asciiTheme="minorHAnsi" w:eastAsia="+mn-ea" w:hAnsiTheme="minorHAnsi" w:cstheme="minorHAnsi"/>
          <w:color w:val="000000"/>
          <w:kern w:val="24"/>
        </w:rPr>
        <w:t xml:space="preserve"> </w:t>
      </w:r>
      <w:r w:rsidR="00F02E21" w:rsidRPr="00F02E21">
        <w:rPr>
          <w:rFonts w:asciiTheme="minorHAnsi" w:eastAsiaTheme="minorHAnsi" w:hAnsiTheme="minorHAnsi" w:cstheme="minorHAnsi"/>
          <w:lang w:eastAsia="en-US"/>
        </w:rPr>
        <w:t xml:space="preserve">Η οργανωτική δομή του ΕΚΕΦΕ Δημόκριτος είναι η εξής : </w:t>
      </w:r>
      <w:r w:rsidRPr="00F02E21">
        <w:rPr>
          <w:rFonts w:asciiTheme="minorHAnsi" w:eastAsiaTheme="minorHAnsi" w:hAnsiTheme="minorHAnsi" w:cstheme="minorHAnsi"/>
          <w:lang w:eastAsia="en-US"/>
        </w:rPr>
        <w:t>Ινστιτούτο Πληροφορικής &amp; Τηλεπικοινωνιών</w:t>
      </w:r>
      <w:r w:rsidR="00F02E21" w:rsidRPr="00F02E21">
        <w:rPr>
          <w:rFonts w:asciiTheme="minorHAnsi" w:eastAsiaTheme="minorHAnsi" w:hAnsiTheme="minorHAnsi" w:cstheme="minorHAnsi"/>
          <w:lang w:eastAsia="en-US"/>
        </w:rPr>
        <w:t xml:space="preserve">, </w:t>
      </w:r>
      <w:r w:rsidRPr="00F02E21">
        <w:rPr>
          <w:rFonts w:asciiTheme="minorHAnsi" w:eastAsiaTheme="minorHAnsi" w:hAnsiTheme="minorHAnsi" w:cstheme="minorHAnsi"/>
          <w:lang w:eastAsia="en-US"/>
        </w:rPr>
        <w:t>Ινστιτούτο Βιοεπιστημών και Εφαρμογών</w:t>
      </w:r>
      <w:r w:rsidR="00F02E21" w:rsidRPr="00F02E21">
        <w:rPr>
          <w:rFonts w:asciiTheme="minorHAnsi" w:eastAsiaTheme="minorHAnsi" w:hAnsiTheme="minorHAnsi" w:cstheme="minorHAnsi"/>
          <w:lang w:eastAsia="en-US"/>
        </w:rPr>
        <w:t xml:space="preserve">, </w:t>
      </w:r>
      <w:r w:rsidRPr="00F02E21">
        <w:rPr>
          <w:rFonts w:asciiTheme="minorHAnsi" w:eastAsiaTheme="minorHAnsi" w:hAnsiTheme="minorHAnsi" w:cstheme="minorHAnsi"/>
          <w:lang w:eastAsia="en-US"/>
        </w:rPr>
        <w:t>Ινστιτούτο Πυρηνικών &amp; Ραδιολογικών Επιστημών &amp; Τεχνολογίας, Ενέργειας &amp; Ασφάλειας</w:t>
      </w:r>
      <w:r w:rsidR="00F02E21" w:rsidRPr="00F02E21">
        <w:rPr>
          <w:rFonts w:asciiTheme="minorHAnsi" w:eastAsiaTheme="minorHAnsi" w:hAnsiTheme="minorHAnsi" w:cstheme="minorHAnsi"/>
          <w:lang w:eastAsia="en-US"/>
        </w:rPr>
        <w:t xml:space="preserve">, </w:t>
      </w:r>
      <w:r w:rsidRPr="00F02E21">
        <w:rPr>
          <w:rFonts w:asciiTheme="minorHAnsi" w:eastAsiaTheme="minorHAnsi" w:hAnsiTheme="minorHAnsi" w:cstheme="minorHAnsi"/>
          <w:lang w:eastAsia="en-US"/>
        </w:rPr>
        <w:t>Ινστιτούτο Νανοεπιστήμης &amp; Νανοτεχνολογίας</w:t>
      </w:r>
      <w:r w:rsidR="00F02E21" w:rsidRPr="00F02E21">
        <w:rPr>
          <w:rFonts w:asciiTheme="minorHAnsi" w:eastAsiaTheme="minorHAnsi" w:hAnsiTheme="minorHAnsi" w:cstheme="minorHAnsi"/>
          <w:lang w:eastAsia="en-US"/>
        </w:rPr>
        <w:t xml:space="preserve">, </w:t>
      </w:r>
      <w:r w:rsidRPr="00F02E21">
        <w:rPr>
          <w:rFonts w:asciiTheme="minorHAnsi" w:eastAsiaTheme="minorHAnsi" w:hAnsiTheme="minorHAnsi" w:cstheme="minorHAnsi"/>
          <w:lang w:eastAsia="en-US"/>
        </w:rPr>
        <w:t xml:space="preserve">Ινστιτούτο </w:t>
      </w:r>
      <w:r w:rsidRPr="00F02E21">
        <w:rPr>
          <w:rFonts w:asciiTheme="minorHAnsi" w:eastAsiaTheme="minorHAnsi" w:hAnsiTheme="minorHAnsi" w:cstheme="minorHAnsi"/>
          <w:lang w:eastAsia="en-US"/>
        </w:rPr>
        <w:lastRenderedPageBreak/>
        <w:t>Πυρηνικής &amp; Σωματιδιακής Φυσικής</w:t>
      </w:r>
      <w:r w:rsidR="00F02E21" w:rsidRPr="00F02E21">
        <w:rPr>
          <w:rFonts w:asciiTheme="minorHAnsi" w:eastAsiaTheme="minorHAnsi" w:hAnsiTheme="minorHAnsi" w:cstheme="minorHAnsi"/>
          <w:lang w:eastAsia="en-US"/>
        </w:rPr>
        <w:t xml:space="preserve">, </w:t>
      </w:r>
      <w:r w:rsidRPr="00F02E21">
        <w:rPr>
          <w:rFonts w:asciiTheme="minorHAnsi" w:eastAsiaTheme="minorHAnsi" w:hAnsiTheme="minorHAnsi" w:cstheme="minorHAnsi"/>
          <w:lang w:eastAsia="en-US"/>
        </w:rPr>
        <w:t>Συνεδριακό Κέντρο</w:t>
      </w:r>
      <w:r w:rsidR="00F02E21" w:rsidRPr="00F02E21">
        <w:rPr>
          <w:rFonts w:asciiTheme="minorHAnsi" w:eastAsiaTheme="minorHAnsi" w:hAnsiTheme="minorHAnsi" w:cstheme="minorHAnsi"/>
          <w:lang w:eastAsia="en-US"/>
        </w:rPr>
        <w:t xml:space="preserve">, </w:t>
      </w:r>
      <w:r w:rsidRPr="00F02E21">
        <w:rPr>
          <w:rFonts w:asciiTheme="minorHAnsi" w:eastAsiaTheme="minorHAnsi" w:hAnsiTheme="minorHAnsi" w:cstheme="minorHAnsi"/>
          <w:lang w:eastAsia="en-US"/>
        </w:rPr>
        <w:t>Τεχνολογικό Πάρκο Λεύκιππος</w:t>
      </w:r>
      <w:r w:rsidR="00F02E21">
        <w:rPr>
          <w:rFonts w:asciiTheme="minorHAnsi" w:eastAsiaTheme="minorHAnsi" w:hAnsiTheme="minorHAnsi" w:cstheme="minorHAnsi"/>
          <w:lang w:eastAsia="en-US"/>
        </w:rPr>
        <w:t xml:space="preserve">. Το κάθε ινστιτούτο έχει το δικό του στρατηγικό πρόγραμμα και πλήρη αυτονομία ως τον προγραμματισμό του και τη χρηματοδότηση των δραστηριοτήτων του. Τα ερευνητικά ινστιτούτα του ΕΚΕΦΕ Δημόκριτος αξιολογούνται ως προς την απορρόφηση του προβλεπόμενου προϋπολογισμού τους και καταθέτουν στη διοίκηση του φορέα ετήσιο απολογισμό δαπανών και δραστηριοτήτων. </w:t>
      </w:r>
    </w:p>
    <w:p w14:paraId="741C797B" w14:textId="037C508A" w:rsidR="008078DA" w:rsidRPr="00F02E21" w:rsidRDefault="00F02E21" w:rsidP="00F02E21">
      <w:pPr>
        <w:pStyle w:val="NormalWeb"/>
        <w:kinsoku w:val="0"/>
        <w:overflowPunct w:val="0"/>
        <w:spacing w:before="120" w:beforeAutospacing="0" w:after="120" w:afterAutospacing="0" w:line="340" w:lineRule="atLeast"/>
        <w:jc w:val="both"/>
        <w:textAlignment w:val="baseline"/>
        <w:rPr>
          <w:rFonts w:asciiTheme="minorHAnsi" w:eastAsia="+mn-ea" w:hAnsiTheme="minorHAnsi" w:cstheme="minorHAnsi"/>
          <w:color w:val="000000"/>
          <w:kern w:val="24"/>
        </w:rPr>
      </w:pPr>
      <w:r w:rsidRPr="00F02E21">
        <w:rPr>
          <w:rFonts w:asciiTheme="minorHAnsi" w:eastAsia="+mn-ea" w:hAnsiTheme="minorHAnsi" w:cstheme="minorHAnsi"/>
          <w:color w:val="000000"/>
          <w:kern w:val="24"/>
        </w:rPr>
        <w:t xml:space="preserve">Η χρηματοδότηση του </w:t>
      </w:r>
      <w:r>
        <w:rPr>
          <w:rFonts w:asciiTheme="minorHAnsi" w:eastAsia="+mn-ea" w:hAnsiTheme="minorHAnsi" w:cstheme="minorHAnsi"/>
          <w:color w:val="000000"/>
          <w:kern w:val="24"/>
        </w:rPr>
        <w:t>ΕΚΕΦΕ Δημόκριτος</w:t>
      </w:r>
      <w:r w:rsidRPr="00F02E21">
        <w:rPr>
          <w:rFonts w:asciiTheme="minorHAnsi" w:eastAsia="+mn-ea" w:hAnsiTheme="minorHAnsi" w:cstheme="minorHAnsi"/>
          <w:color w:val="000000"/>
          <w:kern w:val="24"/>
        </w:rPr>
        <w:t xml:space="preserve"> προέρχεται από το ΕΣΠΑ (40%, αύξηση 9% το 2018 -2022, ΕΠΑ – πρώην ΠΔΕ (μείωση 27% το 2018 – 2022), ανταγωνιστικά προγράμματα της ΕΕ (αύξηση 23% το 2018 - 2022, ιδιωτική χρηματοδότηση (μείωση 20% το 2018 - 2022, δωρεές (μείωση 17% το 2018 – 2022)</w:t>
      </w:r>
      <w:r>
        <w:rPr>
          <w:rFonts w:asciiTheme="minorHAnsi" w:eastAsia="+mn-ea" w:hAnsiTheme="minorHAnsi" w:cstheme="minorHAnsi"/>
          <w:color w:val="000000"/>
          <w:kern w:val="24"/>
        </w:rPr>
        <w:t xml:space="preserve">. </w:t>
      </w:r>
      <w:r w:rsidR="008078DA" w:rsidRPr="008078DA">
        <w:rPr>
          <w:rFonts w:asciiTheme="minorHAnsi" w:hAnsiTheme="minorHAnsi" w:cstheme="minorHAnsi"/>
        </w:rPr>
        <w:t>Για τη νέα προγραμματική περίοδο 2021- 2027, αποτελεί προτεραιότητα για την ΕΕ η χρηματοδότηση &amp; η διασύνδεση της έρευνας &amp; της καινοτομίας με την επιχειρηματικότητα και τη βιομηχανία. Στο πλαίσιο αυτό αυξάνονται οι διαθέσιμοι πόροι για την έρευνα &amp; την καινοτομία κατά 1</w:t>
      </w:r>
      <w:r w:rsidR="008078DA">
        <w:rPr>
          <w:rFonts w:cstheme="minorHAnsi"/>
        </w:rPr>
        <w:t>7</w:t>
      </w:r>
      <w:r w:rsidR="008078DA" w:rsidRPr="008078DA">
        <w:rPr>
          <w:rFonts w:asciiTheme="minorHAnsi" w:hAnsiTheme="minorHAnsi" w:cstheme="minorHAnsi"/>
        </w:rPr>
        <w:t xml:space="preserve">%, ενώ παράλληλα το </w:t>
      </w:r>
      <w:r w:rsidR="008078DA">
        <w:rPr>
          <w:rFonts w:cstheme="minorHAnsi"/>
        </w:rPr>
        <w:t>45</w:t>
      </w:r>
      <w:r w:rsidR="008078DA" w:rsidRPr="008078DA">
        <w:rPr>
          <w:rFonts w:asciiTheme="minorHAnsi" w:hAnsiTheme="minorHAnsi" w:cstheme="minorHAnsi"/>
        </w:rPr>
        <w:t>% της διαθέσιμης χρηματοδότησης των πανεπιστημίων και των ερευνητικών κέντρων θα αφορά τη χρηματοδότηση δράσεων μεταφοράς έρευνας &amp; καινοτομίας από τα πανεπιστήμια και τα ερευνητικά κέντρα στις επιχειρήσεις. Παράλληλα θεσμοθετείται για το 20% της χρηματοδότησης, η χρηματοδότηση βάσει της επίτευξης στόχων δημιουργίας spin – off  επιχειρήσεων και κατοχύρωσης πατεντών &amp; διπλωμάτων ευρεσιτεχνίας. Η αξιοποίηση της έρευνας και της καινοτομίας των πανεπιστημίων και των ερευνητικών κέντρων από τις επιχειρήσεις, αποτελεί προτεραιότητα για την Ελληνική κυβέρνηση, μαζί με την αναβάθμιση των ψηφιακών δεξιοτήτων των εργαζομένων. Για το λόγο αυτό πέρα από τους πόρους του ΕΣΠΑ 2021 – 2027, συστήθηκε ειδικό χρηματοδοτικό πρόγραμμα, στο οποίο ωφελούμενα είναι 15 ερευνητικά κέντρα στην Ελλάδα</w:t>
      </w:r>
      <w:r w:rsidR="008078DA">
        <w:rPr>
          <w:rFonts w:cstheme="minorHAnsi"/>
        </w:rPr>
        <w:t>.</w:t>
      </w:r>
    </w:p>
    <w:p w14:paraId="3CC1C0C0" w14:textId="396216C3" w:rsidR="008078DA" w:rsidRPr="008078DA" w:rsidRDefault="008078DA" w:rsidP="008078DA">
      <w:pPr>
        <w:spacing w:before="120" w:after="120" w:line="340" w:lineRule="atLeast"/>
        <w:jc w:val="both"/>
        <w:rPr>
          <w:rFonts w:cstheme="minorHAnsi"/>
          <w:b/>
          <w:bCs/>
          <w:sz w:val="24"/>
          <w:szCs w:val="24"/>
        </w:rPr>
      </w:pPr>
      <w:r w:rsidRPr="008078DA">
        <w:rPr>
          <w:rFonts w:cstheme="minorHAnsi"/>
          <w:b/>
          <w:bCs/>
          <w:sz w:val="24"/>
          <w:szCs w:val="24"/>
        </w:rPr>
        <w:t>Ερωτήσεις προς απάντηση:</w:t>
      </w:r>
    </w:p>
    <w:p w14:paraId="7E2561DF" w14:textId="762BF4FF" w:rsidR="008078DA" w:rsidRDefault="008078DA" w:rsidP="008078DA">
      <w:pPr>
        <w:pStyle w:val="ListParagraph"/>
        <w:numPr>
          <w:ilvl w:val="0"/>
          <w:numId w:val="2"/>
        </w:numPr>
        <w:spacing w:before="120" w:after="120" w:line="340" w:lineRule="atLeast"/>
        <w:jc w:val="both"/>
        <w:rPr>
          <w:rFonts w:cstheme="minorHAnsi"/>
          <w:sz w:val="24"/>
          <w:szCs w:val="24"/>
        </w:rPr>
      </w:pPr>
      <w:r w:rsidRPr="008078DA">
        <w:rPr>
          <w:rFonts w:cstheme="minorHAnsi"/>
          <w:sz w:val="24"/>
          <w:szCs w:val="24"/>
        </w:rPr>
        <w:t>Ποιοι θεωρείτε ότι είναι οι πιο σημαντικοί εμπλεκόμενοι φορείς και πως επηρεάζουν τη στρατηγική του Δημόκριτου;</w:t>
      </w:r>
    </w:p>
    <w:p w14:paraId="3E15C446" w14:textId="0BFFA487" w:rsidR="008078DA" w:rsidRDefault="00F02E21" w:rsidP="00F02E21">
      <w:pPr>
        <w:pStyle w:val="ListParagraph"/>
        <w:numPr>
          <w:ilvl w:val="0"/>
          <w:numId w:val="2"/>
        </w:numPr>
        <w:spacing w:before="120" w:after="120" w:line="340" w:lineRule="atLeast"/>
        <w:jc w:val="both"/>
        <w:rPr>
          <w:rFonts w:cstheme="minorHAnsi"/>
          <w:sz w:val="24"/>
          <w:szCs w:val="24"/>
        </w:rPr>
      </w:pPr>
      <w:r>
        <w:rPr>
          <w:rFonts w:cstheme="minorHAnsi"/>
          <w:sz w:val="24"/>
          <w:szCs w:val="24"/>
        </w:rPr>
        <w:t>Αναλύστε το εσωτερικό και το εξωτερικό περιβάλλον λειτουργίας του Δημόκριτου</w:t>
      </w:r>
    </w:p>
    <w:p w14:paraId="3EB898C7" w14:textId="38B44130" w:rsidR="0055058D" w:rsidRPr="00F02E21" w:rsidRDefault="0055058D" w:rsidP="00F02E21">
      <w:pPr>
        <w:pStyle w:val="ListParagraph"/>
        <w:numPr>
          <w:ilvl w:val="0"/>
          <w:numId w:val="2"/>
        </w:numPr>
        <w:spacing w:before="120" w:after="120" w:line="340" w:lineRule="atLeast"/>
        <w:jc w:val="both"/>
        <w:rPr>
          <w:rFonts w:cstheme="minorHAnsi"/>
          <w:sz w:val="24"/>
          <w:szCs w:val="24"/>
        </w:rPr>
      </w:pPr>
      <w:r w:rsidRPr="0055058D">
        <w:rPr>
          <w:rFonts w:cstheme="minorHAnsi"/>
          <w:sz w:val="24"/>
          <w:szCs w:val="24"/>
        </w:rPr>
        <w:t>Παρουσιάστε ένα στρατηγικό στόχο για τ</w:t>
      </w:r>
      <w:r>
        <w:rPr>
          <w:rFonts w:cstheme="minorHAnsi"/>
          <w:sz w:val="24"/>
          <w:szCs w:val="24"/>
          <w:lang w:val="en-US"/>
        </w:rPr>
        <w:t>o</w:t>
      </w:r>
      <w:r w:rsidRPr="0055058D">
        <w:rPr>
          <w:rFonts w:cstheme="minorHAnsi"/>
          <w:sz w:val="24"/>
          <w:szCs w:val="24"/>
        </w:rPr>
        <w:t xml:space="preserve"> </w:t>
      </w:r>
      <w:r>
        <w:rPr>
          <w:rFonts w:cstheme="minorHAnsi"/>
          <w:sz w:val="24"/>
          <w:szCs w:val="24"/>
        </w:rPr>
        <w:t xml:space="preserve">Δημόκριτο </w:t>
      </w:r>
      <w:r w:rsidRPr="0055058D">
        <w:rPr>
          <w:rFonts w:cstheme="minorHAnsi"/>
          <w:sz w:val="24"/>
          <w:szCs w:val="24"/>
        </w:rPr>
        <w:t xml:space="preserve">και τεκμηριώστε γιατί αποτελεί στρατηγικό στόχο για το φορέα </w:t>
      </w:r>
    </w:p>
    <w:p w14:paraId="68916509" w14:textId="22064DEA" w:rsidR="008078DA" w:rsidRPr="008078DA" w:rsidRDefault="008078DA" w:rsidP="008078DA">
      <w:pPr>
        <w:pStyle w:val="ListParagraph"/>
        <w:numPr>
          <w:ilvl w:val="0"/>
          <w:numId w:val="2"/>
        </w:numPr>
        <w:spacing w:before="120" w:after="120" w:line="340" w:lineRule="atLeast"/>
        <w:jc w:val="both"/>
        <w:rPr>
          <w:rFonts w:cstheme="minorHAnsi"/>
          <w:sz w:val="24"/>
          <w:szCs w:val="24"/>
        </w:rPr>
      </w:pPr>
      <w:r>
        <w:rPr>
          <w:rFonts w:cstheme="minorHAnsi"/>
          <w:sz w:val="24"/>
          <w:szCs w:val="24"/>
        </w:rPr>
        <w:t xml:space="preserve">Για την υλοποίηση ενός προγράμματος ανάπτυξης των δεξιοτήτων </w:t>
      </w:r>
      <w:r>
        <w:rPr>
          <w:rFonts w:cstheme="minorHAnsi"/>
          <w:sz w:val="24"/>
          <w:szCs w:val="24"/>
          <w:lang w:val="en-US"/>
        </w:rPr>
        <w:t>STEM</w:t>
      </w:r>
      <w:r w:rsidRPr="008078DA">
        <w:rPr>
          <w:rFonts w:cstheme="minorHAnsi"/>
          <w:sz w:val="24"/>
          <w:szCs w:val="24"/>
        </w:rPr>
        <w:t xml:space="preserve"> </w:t>
      </w:r>
      <w:r>
        <w:rPr>
          <w:rFonts w:cstheme="minorHAnsi"/>
          <w:sz w:val="24"/>
          <w:szCs w:val="24"/>
        </w:rPr>
        <w:t>στους μαθητές Γυμνάσιου</w:t>
      </w:r>
      <w:r w:rsidR="00F02E21">
        <w:rPr>
          <w:rFonts w:cstheme="minorHAnsi"/>
          <w:sz w:val="24"/>
          <w:szCs w:val="24"/>
        </w:rPr>
        <w:t xml:space="preserve">, θα έπρεπε ο Δημόκριτος να συνεργαστεί με άλλους φορείς; Εάν ναι με ποιους, πως και γιατί; </w:t>
      </w:r>
    </w:p>
    <w:sectPr w:rsidR="008078DA" w:rsidRPr="008078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34"/>
    <w:multiLevelType w:val="hybridMultilevel"/>
    <w:tmpl w:val="E6CCA4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DB5FE2"/>
    <w:multiLevelType w:val="hybridMultilevel"/>
    <w:tmpl w:val="0E5A0552"/>
    <w:lvl w:ilvl="0" w:tplc="04080011">
      <w:start w:val="1"/>
      <w:numFmt w:val="decimal"/>
      <w:lvlText w:val="%1)"/>
      <w:lvlJc w:val="left"/>
      <w:pPr>
        <w:ind w:left="363" w:hanging="360"/>
      </w:pPr>
      <w:rPr>
        <w:rFonts w:hint="default"/>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2" w15:restartNumberingAfterBreak="0">
    <w:nsid w:val="2C2075D7"/>
    <w:multiLevelType w:val="hybridMultilevel"/>
    <w:tmpl w:val="FBBC17E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70451048">
    <w:abstractNumId w:val="2"/>
  </w:num>
  <w:num w:numId="2" w16cid:durableId="571357934">
    <w:abstractNumId w:val="0"/>
  </w:num>
  <w:num w:numId="3" w16cid:durableId="50752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0F"/>
    <w:rsid w:val="00023346"/>
    <w:rsid w:val="0055058D"/>
    <w:rsid w:val="00590051"/>
    <w:rsid w:val="005B5307"/>
    <w:rsid w:val="00687DE6"/>
    <w:rsid w:val="008078DA"/>
    <w:rsid w:val="0090100F"/>
    <w:rsid w:val="00AE36FC"/>
    <w:rsid w:val="00B301A9"/>
    <w:rsid w:val="00DB6C07"/>
    <w:rsid w:val="00F02E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27D7"/>
  <w15:chartTrackingRefBased/>
  <w15:docId w15:val="{5A67A87D-6B4C-4419-A42E-BC49B40E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8D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80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8384">
      <w:bodyDiv w:val="1"/>
      <w:marLeft w:val="0"/>
      <w:marRight w:val="0"/>
      <w:marTop w:val="0"/>
      <w:marBottom w:val="0"/>
      <w:divBdr>
        <w:top w:val="none" w:sz="0" w:space="0" w:color="auto"/>
        <w:left w:val="none" w:sz="0" w:space="0" w:color="auto"/>
        <w:bottom w:val="none" w:sz="0" w:space="0" w:color="auto"/>
        <w:right w:val="none" w:sz="0" w:space="0" w:color="auto"/>
      </w:divBdr>
    </w:div>
    <w:div w:id="20613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Sifis Plimakis</dc:creator>
  <cp:keywords/>
  <dc:description/>
  <cp:lastModifiedBy>Sifis Plimakis</cp:lastModifiedBy>
  <cp:revision>4</cp:revision>
  <dcterms:created xsi:type="dcterms:W3CDTF">2023-11-30T07:30:00Z</dcterms:created>
  <dcterms:modified xsi:type="dcterms:W3CDTF">2023-11-30T07:38:00Z</dcterms:modified>
</cp:coreProperties>
</file>