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89" w:rsidRPr="007B32B5" w:rsidRDefault="007F4189" w:rsidP="007F4189">
      <w:pPr>
        <w:jc w:val="center"/>
        <w:rPr>
          <w:b/>
        </w:rPr>
      </w:pPr>
      <w:r>
        <w:rPr>
          <w:b/>
        </w:rPr>
        <w:t>Κριτική Ανάλυση Παραστάσεων</w:t>
      </w:r>
    </w:p>
    <w:p w:rsidR="007F4189" w:rsidRPr="004322B0" w:rsidRDefault="007F4189" w:rsidP="007F4189">
      <w:pPr>
        <w:jc w:val="center"/>
        <w:rPr>
          <w:b/>
        </w:rPr>
      </w:pPr>
      <w:r>
        <w:rPr>
          <w:b/>
        </w:rPr>
        <w:t>Εαρινό Εξάμηνο 2024</w:t>
      </w:r>
    </w:p>
    <w:p w:rsidR="007F4189" w:rsidRPr="002F4F9D" w:rsidRDefault="007F4189" w:rsidP="007F4189">
      <w:pPr>
        <w:jc w:val="center"/>
        <w:rPr>
          <w:b/>
        </w:rPr>
      </w:pPr>
      <w:r w:rsidRPr="002F4F9D">
        <w:rPr>
          <w:b/>
        </w:rPr>
        <w:t>Διδάσκουσα Μαρίνα Κοτζαμάνη</w:t>
      </w:r>
    </w:p>
    <w:p w:rsidR="007F4189" w:rsidRPr="00CA5465" w:rsidRDefault="007F4189" w:rsidP="007F4189">
      <w:pPr>
        <w:jc w:val="center"/>
        <w:rPr>
          <w:b/>
        </w:rPr>
      </w:pPr>
    </w:p>
    <w:p w:rsidR="007F4189" w:rsidRDefault="007F4189" w:rsidP="007F4189">
      <w:pPr>
        <w:rPr>
          <w:b/>
        </w:rPr>
      </w:pPr>
    </w:p>
    <w:p w:rsidR="007F4189" w:rsidRDefault="007F4189" w:rsidP="007F4189">
      <w:r>
        <w:t>Τρίτη 6-9 μ.μ.</w:t>
      </w:r>
    </w:p>
    <w:p w:rsidR="007F4189" w:rsidRPr="008B0965" w:rsidRDefault="007F4189" w:rsidP="007F4189">
      <w:r>
        <w:t>Αίθουσα Ισογείου</w:t>
      </w:r>
    </w:p>
    <w:p w:rsidR="007F4189" w:rsidRPr="00CA5465" w:rsidRDefault="007F4189" w:rsidP="007F4189"/>
    <w:p w:rsidR="007F4189" w:rsidRDefault="007F4189" w:rsidP="007F4189"/>
    <w:p w:rsidR="007F4189" w:rsidRDefault="007F4189" w:rsidP="007F4189"/>
    <w:p w:rsidR="007F4189" w:rsidRPr="00B9199A" w:rsidRDefault="007F4189" w:rsidP="007F4189">
      <w:pPr>
        <w:jc w:val="both"/>
      </w:pPr>
      <w:r>
        <w:t>Το μάθημα επικεντρώνεται στο σύγχρονο θέατρο και ευαισθητοποιεί τους φοιτητές ως προς το πώς να διαβάζουν μια θεατρική παράσταση</w:t>
      </w:r>
      <w:r w:rsidR="009D2C00">
        <w:t xml:space="preserve"> ή μια περφόρμανς</w:t>
      </w:r>
      <w:r>
        <w:t>.  Το μάθημα εισάγει τους φοιτητές στην πολυμορφία τ</w:t>
      </w:r>
      <w:r w:rsidR="009D2C00">
        <w:t>ων προσεγγίσεων που διακρίνει τη σύγχρονη τέχνη</w:t>
      </w:r>
      <w:r>
        <w:t xml:space="preserve"> με παραδείγματα από τον ελληνικό και τον διεθνή χώρο, που συμπεριλαμβάνουν καλλιτέχνες όπως ο </w:t>
      </w:r>
      <w:r>
        <w:rPr>
          <w:lang w:val="en-US"/>
        </w:rPr>
        <w:t>Robert</w:t>
      </w:r>
      <w:r w:rsidRPr="00873398">
        <w:t xml:space="preserve"> </w:t>
      </w:r>
      <w:r>
        <w:rPr>
          <w:lang w:val="en-US"/>
        </w:rPr>
        <w:t>Wilson</w:t>
      </w:r>
      <w:r w:rsidRPr="00873398">
        <w:t xml:space="preserve">, </w:t>
      </w:r>
      <w:r w:rsidR="009D2C00" w:rsidRPr="009D2C00">
        <w:t xml:space="preserve">ο </w:t>
      </w:r>
      <w:r w:rsidR="009D2C00">
        <w:t>Ιάννης Ξενάκης</w:t>
      </w:r>
      <w:r w:rsidRPr="00C72BFE">
        <w:t xml:space="preserve">, </w:t>
      </w:r>
      <w:r>
        <w:t xml:space="preserve">η </w:t>
      </w:r>
      <w:r>
        <w:rPr>
          <w:lang w:val="en-US"/>
        </w:rPr>
        <w:t>Sophie</w:t>
      </w:r>
      <w:r w:rsidRPr="00873398">
        <w:t xml:space="preserve"> </w:t>
      </w:r>
      <w:r>
        <w:rPr>
          <w:lang w:val="en-US"/>
        </w:rPr>
        <w:t>Calle</w:t>
      </w:r>
      <w:r w:rsidRPr="00C72BFE">
        <w:t xml:space="preserve">, </w:t>
      </w:r>
      <w:r>
        <w:t xml:space="preserve">και </w:t>
      </w:r>
      <w:r w:rsidR="009D2C00">
        <w:t xml:space="preserve">η </w:t>
      </w:r>
      <w:r w:rsidR="009D2C00">
        <w:rPr>
          <w:lang w:val="en-US"/>
        </w:rPr>
        <w:t>Emily</w:t>
      </w:r>
      <w:r w:rsidR="009D2C00" w:rsidRPr="009D2C00">
        <w:t xml:space="preserve"> </w:t>
      </w:r>
      <w:r w:rsidR="009D2C00">
        <w:rPr>
          <w:lang w:val="en-US"/>
        </w:rPr>
        <w:t>Jacir</w:t>
      </w:r>
      <w:r>
        <w:t>.  Μια παράσταση μπορεί «υπηρετεί» το κείμενο, να το υπονομεύει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w:t>
      </w:r>
      <w:r w:rsidRPr="00236214">
        <w:t xml:space="preserve">;  </w:t>
      </w:r>
      <w:r>
        <w:t>Ποιος είναι ο ρόλος του κοινού σε μια παράσταση</w:t>
      </w:r>
      <w:r w:rsidR="009D2C00">
        <w:t xml:space="preserve"> ή περφόρμανς</w:t>
      </w:r>
      <w:r w:rsidRPr="00BF004E">
        <w:t xml:space="preserve">;  </w:t>
      </w:r>
      <w:r>
        <w:t>Υπάρχει μεγάλη απόσταση ανάμεσα σε παραστάσεις όπου το κοινό είναι παθητικός αποδέκτης και</w:t>
      </w:r>
      <w:r w:rsidRPr="00236214">
        <w:t xml:space="preserve"> </w:t>
      </w:r>
      <w:r>
        <w:t>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Σκοπός του μαθήματος είναι να ενθαρρύνει τους φοιτητές να γνωρίσουν καλύτερα και να συμμετάσχουν στο θεατρικό γίγνεσθαι του καιρού μας.</w:t>
      </w:r>
      <w:r w:rsidR="009D2C00">
        <w:t xml:space="preserve">  Στο μάθημα θα ενσωματωθεί και η παρακολούθηση παραστάσεων στην Αθήνα ή και η επίσκεψη σε εκθέσεις.</w:t>
      </w:r>
    </w:p>
    <w:p w:rsidR="007F4189" w:rsidRPr="00CA5465" w:rsidRDefault="007F4189" w:rsidP="007F4189"/>
    <w:p w:rsidR="007F4189" w:rsidRDefault="007F4189" w:rsidP="007F4189">
      <w:pPr>
        <w:pStyle w:val="Heading1"/>
        <w:rPr>
          <w:rFonts w:ascii="Times New Roman" w:hAnsi="Times New Roman"/>
        </w:rPr>
      </w:pPr>
    </w:p>
    <w:p w:rsidR="007F4189" w:rsidRPr="00CA5465" w:rsidRDefault="007F4189" w:rsidP="007F4189">
      <w:pPr>
        <w:pStyle w:val="Heading1"/>
        <w:rPr>
          <w:rFonts w:ascii="Times New Roman" w:hAnsi="Times New Roman"/>
        </w:rPr>
      </w:pPr>
    </w:p>
    <w:p w:rsidR="007F4189" w:rsidRDefault="007F4189" w:rsidP="007F4189">
      <w:pPr>
        <w:pStyle w:val="Heading1"/>
        <w:rPr>
          <w:rFonts w:ascii="Times New Roman" w:hAnsi="Times New Roman"/>
          <w:b/>
        </w:rPr>
      </w:pPr>
      <w:r w:rsidRPr="00E44155">
        <w:rPr>
          <w:rFonts w:ascii="Times New Roman" w:hAnsi="Times New Roman"/>
          <w:b/>
        </w:rPr>
        <w:t>Κανονισμοί του μαθήματος</w:t>
      </w:r>
    </w:p>
    <w:p w:rsidR="005F7FEA" w:rsidRDefault="005F7FEA" w:rsidP="005F7FEA"/>
    <w:p w:rsidR="005F7FEA" w:rsidRDefault="005F7FEA" w:rsidP="005F7FEA">
      <w:pPr>
        <w:tabs>
          <w:tab w:val="left" w:pos="2960"/>
        </w:tabs>
        <w:jc w:val="both"/>
      </w:pPr>
      <w:r>
        <w:t xml:space="preserve">Στο μάθημα αυτό απαιτούνται δύο εργασίες, έκτασης 1800-2000 λέξεις, οι οποίες πρέπει να είναι δακτυλογραφημένες σε διπλό διάστημα.  Επίσης, είναι υποχρεωτική μία προφορική παρουσίαση, στην οποία θα βασιστεί η δεύτερη εργασία, καθώς και μία τελική εξέταση.  Το θέμα της πρώτης εργασίας δίδεται από την διδάσκουσα ενώ το θέμα της δεύτερης εργασίας επιλέγεται από σε ατομική βάση από τους φοιτητές σε συνεννόηση με την διδάσκουσα.  Σημαντική είναι επίσης η εβδομαδιαία συμμετοχή των φοιτητών στην διεξαγωγή του μαθήματος (έως 20% επιπλέον επί της βαθμολογίας)  Η συμμετοχή στο μάθημα μπορεί να συμπεριλαμβάνει και την ανάληψη ασκήσεων.  Η πρώτη εργασία συμβάλει στο 35% της βαθμολογίας ενώ η δεύτερη εργασία, που συμπεριλαμβάνει και την παρουσίαση συμβάλει στο 50% της βαθμολογίας (από το οποίο, προφορική παρουσίαση 15%).  Η τελική εξέταση λαμβάνει 15% της βαθμολογίας. </w:t>
      </w:r>
    </w:p>
    <w:p w:rsidR="005F7FEA" w:rsidRDefault="005F7FEA" w:rsidP="005F7FEA">
      <w:pPr>
        <w:tabs>
          <w:tab w:val="left" w:pos="2960"/>
        </w:tabs>
        <w:jc w:val="both"/>
      </w:pPr>
    </w:p>
    <w:p w:rsidR="005F7FEA" w:rsidRDefault="005F7FEA" w:rsidP="005F7FEA">
      <w:r>
        <w:t xml:space="preserve">Δεν θα γίνονται δεκτές καθυστερημένες εργασίες, καθώς και εργασίες των οποίων το θέμα δεν έχω εγκρίνει.  Στις εργασίες αναφέρετε τις πηγές σας σε υποσημειώσεις και συμπεριλαμβάνετε βιβλιογραφία.  </w:t>
      </w:r>
      <w:r w:rsidRPr="002F4F9D">
        <w:t>Με ενδιαφέρει κυρίως να διαπιστώσω εάν οι εξεταζόμενες/οι είν</w:t>
      </w:r>
      <w:r>
        <w:t>αι σε θέση να συζητήσουν τις παραστάσεις</w:t>
      </w:r>
      <w:r w:rsidRPr="002F4F9D">
        <w:t xml:space="preserve"> με κριτική διάθεση.  </w:t>
      </w:r>
      <w:r w:rsidRPr="002F4F9D">
        <w:lastRenderedPageBreak/>
        <w:t>Εκτιμώ ιδιαίτερα την πρωτοτυπία στην σκέψη και την ικανότητα να κάνουν οι φοιτήτριες/ες γόν</w:t>
      </w:r>
      <w:r>
        <w:t>ιμες συγκρίσεις ανάμεσα σε παραστάσεις.</w:t>
      </w:r>
    </w:p>
    <w:p w:rsidR="005F7FEA" w:rsidRPr="005F7FEA" w:rsidRDefault="005F7FEA" w:rsidP="005F7FEA"/>
    <w:p w:rsidR="007F4189" w:rsidRDefault="007F4189" w:rsidP="007F4189">
      <w:r>
        <w:t xml:space="preserve">Εργασίες με αντιγραφές θα μηδενίζονται και η αντιγραφή </w:t>
      </w:r>
      <w:r w:rsidR="005F7FEA">
        <w:t>θα έχει ως συνέπεια το να αποτυγχάνει ο/η φοιτητής/τρια να περάσει το μάθημα συνολικά.</w:t>
      </w:r>
    </w:p>
    <w:p w:rsidR="007F4189" w:rsidRDefault="007F4189" w:rsidP="007F4189"/>
    <w:p w:rsidR="005F7FEA" w:rsidRDefault="005F7FEA" w:rsidP="007F4189">
      <w:pPr>
        <w:widowControl w:val="0"/>
        <w:jc w:val="both"/>
      </w:pPr>
    </w:p>
    <w:p w:rsidR="007F4189" w:rsidRDefault="007F4189" w:rsidP="007F4189">
      <w:pPr>
        <w:widowControl w:val="0"/>
        <w:jc w:val="both"/>
        <w:rPr>
          <w:b/>
        </w:rPr>
      </w:pPr>
      <w:r w:rsidRPr="004173C9">
        <w:rPr>
          <w:b/>
        </w:rPr>
        <w:t>Πρόγραμμα Μαθημάτων</w:t>
      </w:r>
      <w:r>
        <w:rPr>
          <w:rStyle w:val="FootnoteReference"/>
        </w:rPr>
        <w:footnoteReference w:id="2"/>
      </w:r>
    </w:p>
    <w:p w:rsidR="007F4189" w:rsidRPr="00BE047D" w:rsidRDefault="007F4189" w:rsidP="007F4189">
      <w:pPr>
        <w:widowControl w:val="0"/>
        <w:jc w:val="both"/>
        <w:rPr>
          <w:b/>
        </w:rPr>
      </w:pPr>
    </w:p>
    <w:p w:rsidR="007F4189" w:rsidRDefault="007F4189" w:rsidP="007F4189">
      <w:pPr>
        <w:widowControl w:val="0"/>
        <w:jc w:val="both"/>
      </w:pPr>
      <w:r>
        <w:t>1</w:t>
      </w:r>
      <w:r w:rsidRPr="00D155C4">
        <w:t>.</w:t>
      </w:r>
      <w:r w:rsidR="00925C8C">
        <w:t xml:space="preserve"> 2. 3. </w:t>
      </w:r>
      <w:r>
        <w:rPr>
          <w:b/>
        </w:rPr>
        <w:t xml:space="preserve"> </w:t>
      </w:r>
      <w:r>
        <w:t>Εισαγωγή</w:t>
      </w:r>
    </w:p>
    <w:p w:rsidR="007F4189" w:rsidRDefault="007F4189" w:rsidP="007F4189">
      <w:pPr>
        <w:widowControl w:val="0"/>
        <w:ind w:left="720"/>
        <w:jc w:val="both"/>
      </w:pPr>
      <w:r>
        <w:rPr>
          <w:lang w:val="en-US"/>
        </w:rPr>
        <w:t>P</w:t>
      </w:r>
      <w:r w:rsidRPr="00745F42">
        <w:t xml:space="preserve">. </w:t>
      </w:r>
      <w:r>
        <w:rPr>
          <w:lang w:val="en-US"/>
        </w:rPr>
        <w:t>Pavis</w:t>
      </w:r>
      <w:r w:rsidRPr="00745F42">
        <w:t xml:space="preserve">, </w:t>
      </w:r>
      <w:r>
        <w:t>Λεξικό του θεάτρου (επιλογές)</w:t>
      </w:r>
    </w:p>
    <w:p w:rsidR="007F4189" w:rsidRDefault="007F4189" w:rsidP="007F4189">
      <w:pPr>
        <w:widowControl w:val="0"/>
        <w:ind w:left="720"/>
        <w:jc w:val="both"/>
      </w:pPr>
      <w:r>
        <w:t xml:space="preserve">Ε. Βαροπούλου, «Προς μια νέα συνείδηση του χρόνου και του βλέμματος» και «Το λυκόφως των μεγάλων σκηνοθετών» στο </w:t>
      </w:r>
      <w:r w:rsidRPr="00745F42">
        <w:rPr>
          <w:i/>
        </w:rPr>
        <w:t>Ζωντανό θέατρο</w:t>
      </w:r>
      <w:r>
        <w:t xml:space="preserve"> 17-52.</w:t>
      </w:r>
    </w:p>
    <w:p w:rsidR="00925C8C" w:rsidRDefault="00925C8C" w:rsidP="00925C8C">
      <w:pPr>
        <w:widowControl w:val="0"/>
        <w:jc w:val="both"/>
      </w:pPr>
    </w:p>
    <w:p w:rsidR="00925C8C" w:rsidRPr="004A50C3" w:rsidRDefault="00925C8C" w:rsidP="00925C8C">
      <w:pPr>
        <w:widowControl w:val="0"/>
        <w:ind w:left="720"/>
        <w:jc w:val="both"/>
        <w:rPr>
          <w:lang w:val="en-US"/>
        </w:rPr>
      </w:pPr>
      <w:r w:rsidRPr="007865FE">
        <w:rPr>
          <w:lang w:val="en-US"/>
        </w:rPr>
        <w:t>Robert</w:t>
      </w:r>
      <w:r w:rsidRPr="00925C8C">
        <w:rPr>
          <w:lang w:val="en-US"/>
        </w:rPr>
        <w:t xml:space="preserve"> </w:t>
      </w:r>
      <w:r w:rsidRPr="007865FE">
        <w:rPr>
          <w:lang w:val="en-US"/>
        </w:rPr>
        <w:t>Wilson</w:t>
      </w:r>
      <w:r w:rsidRPr="00925C8C">
        <w:rPr>
          <w:lang w:val="en-US"/>
        </w:rPr>
        <w:t xml:space="preserve">, </w:t>
      </w:r>
      <w:r>
        <w:rPr>
          <w:lang w:val="en-US"/>
        </w:rPr>
        <w:t xml:space="preserve">Absolute Wilson </w:t>
      </w:r>
      <w:r>
        <w:t>και</w:t>
      </w:r>
      <w:r w:rsidRPr="005F7FEA">
        <w:rPr>
          <w:lang w:val="en-US"/>
        </w:rPr>
        <w:t xml:space="preserve"> </w:t>
      </w:r>
      <w:r w:rsidRPr="0016017C">
        <w:rPr>
          <w:i/>
          <w:lang w:val="en-US"/>
        </w:rPr>
        <w:t>Les</w:t>
      </w:r>
      <w:r w:rsidRPr="00925C8C">
        <w:rPr>
          <w:i/>
          <w:lang w:val="en-US"/>
        </w:rPr>
        <w:t xml:space="preserve"> </w:t>
      </w:r>
      <w:r w:rsidRPr="0016017C">
        <w:rPr>
          <w:i/>
          <w:lang w:val="en-US"/>
        </w:rPr>
        <w:t>Fables</w:t>
      </w:r>
      <w:r w:rsidRPr="00925C8C">
        <w:rPr>
          <w:i/>
          <w:lang w:val="en-US"/>
        </w:rPr>
        <w:t xml:space="preserve"> </w:t>
      </w:r>
      <w:r w:rsidRPr="0016017C">
        <w:rPr>
          <w:i/>
          <w:lang w:val="en-US"/>
        </w:rPr>
        <w:t>de</w:t>
      </w:r>
      <w:r w:rsidRPr="00925C8C">
        <w:rPr>
          <w:i/>
          <w:lang w:val="en-US"/>
        </w:rPr>
        <w:t xml:space="preserve"> </w:t>
      </w:r>
      <w:r w:rsidRPr="0016017C">
        <w:rPr>
          <w:i/>
          <w:lang w:val="en-US"/>
        </w:rPr>
        <w:t>La</w:t>
      </w:r>
      <w:r w:rsidRPr="00925C8C">
        <w:rPr>
          <w:i/>
          <w:lang w:val="en-US"/>
        </w:rPr>
        <w:t xml:space="preserve"> </w:t>
      </w:r>
      <w:r w:rsidRPr="0016017C">
        <w:rPr>
          <w:i/>
          <w:lang w:val="en-US"/>
        </w:rPr>
        <w:t>Fontaine</w:t>
      </w:r>
      <w:r w:rsidRPr="00925C8C">
        <w:rPr>
          <w:lang w:val="en-US"/>
        </w:rPr>
        <w:t xml:space="preserve"> </w:t>
      </w:r>
      <w:r>
        <w:t>βασισμένο</w:t>
      </w:r>
      <w:r w:rsidRPr="00925C8C">
        <w:rPr>
          <w:lang w:val="en-US"/>
        </w:rPr>
        <w:t xml:space="preserve"> </w:t>
      </w:r>
      <w:r>
        <w:t>σε</w:t>
      </w:r>
      <w:r w:rsidRPr="00925C8C">
        <w:rPr>
          <w:lang w:val="en-US"/>
        </w:rPr>
        <w:t xml:space="preserve"> </w:t>
      </w:r>
      <w:r>
        <w:t>μύθους</w:t>
      </w:r>
      <w:r w:rsidRPr="00925C8C">
        <w:rPr>
          <w:lang w:val="en-US"/>
        </w:rPr>
        <w:t xml:space="preserve"> </w:t>
      </w:r>
      <w:r>
        <w:t>του</w:t>
      </w:r>
      <w:r w:rsidRPr="00925C8C">
        <w:rPr>
          <w:lang w:val="en-US"/>
        </w:rPr>
        <w:t xml:space="preserve"> </w:t>
      </w:r>
      <w:r>
        <w:t>Λα</w:t>
      </w:r>
      <w:r>
        <w:rPr>
          <w:lang w:val="en-US"/>
        </w:rPr>
        <w:t xml:space="preserve"> </w:t>
      </w:r>
      <w:r>
        <w:t>Φοντέν</w:t>
      </w:r>
    </w:p>
    <w:p w:rsidR="001267B2" w:rsidRPr="004A50C3" w:rsidRDefault="0034431D" w:rsidP="00925C8C">
      <w:pPr>
        <w:widowControl w:val="0"/>
        <w:ind w:left="720"/>
        <w:jc w:val="both"/>
        <w:rPr>
          <w:lang w:val="en-US"/>
        </w:rPr>
      </w:pPr>
      <w:hyperlink r:id="rId7" w:history="1">
        <w:r w:rsidR="001267B2" w:rsidRPr="00A925D7">
          <w:rPr>
            <w:rStyle w:val="Hyperlink"/>
            <w:lang w:val="en-US"/>
          </w:rPr>
          <w:t>https</w:t>
        </w:r>
        <w:r w:rsidR="001267B2" w:rsidRPr="004A50C3">
          <w:rPr>
            <w:rStyle w:val="Hyperlink"/>
            <w:lang w:val="en-US"/>
          </w:rPr>
          <w:t>://</w:t>
        </w:r>
        <w:r w:rsidR="001267B2" w:rsidRPr="00A925D7">
          <w:rPr>
            <w:rStyle w:val="Hyperlink"/>
            <w:lang w:val="en-US"/>
          </w:rPr>
          <w:t>www</w:t>
        </w:r>
        <w:r w:rsidR="001267B2" w:rsidRPr="004A50C3">
          <w:rPr>
            <w:rStyle w:val="Hyperlink"/>
            <w:lang w:val="en-US"/>
          </w:rPr>
          <w:t>.</w:t>
        </w:r>
        <w:r w:rsidR="001267B2" w:rsidRPr="00A925D7">
          <w:rPr>
            <w:rStyle w:val="Hyperlink"/>
            <w:lang w:val="en-US"/>
          </w:rPr>
          <w:t>youtube</w:t>
        </w:r>
        <w:r w:rsidR="001267B2" w:rsidRPr="004A50C3">
          <w:rPr>
            <w:rStyle w:val="Hyperlink"/>
            <w:lang w:val="en-US"/>
          </w:rPr>
          <w:t>.</w:t>
        </w:r>
        <w:r w:rsidR="001267B2" w:rsidRPr="00A925D7">
          <w:rPr>
            <w:rStyle w:val="Hyperlink"/>
            <w:lang w:val="en-US"/>
          </w:rPr>
          <w:t>com</w:t>
        </w:r>
        <w:r w:rsidR="001267B2" w:rsidRPr="004A50C3">
          <w:rPr>
            <w:rStyle w:val="Hyperlink"/>
            <w:lang w:val="en-US"/>
          </w:rPr>
          <w:t>/</w:t>
        </w:r>
        <w:r w:rsidR="001267B2" w:rsidRPr="00A925D7">
          <w:rPr>
            <w:rStyle w:val="Hyperlink"/>
            <w:lang w:val="en-US"/>
          </w:rPr>
          <w:t>watch</w:t>
        </w:r>
        <w:r w:rsidR="001267B2" w:rsidRPr="004A50C3">
          <w:rPr>
            <w:rStyle w:val="Hyperlink"/>
            <w:lang w:val="en-US"/>
          </w:rPr>
          <w:t>?</w:t>
        </w:r>
        <w:r w:rsidR="001267B2" w:rsidRPr="00A925D7">
          <w:rPr>
            <w:rStyle w:val="Hyperlink"/>
            <w:lang w:val="en-US"/>
          </w:rPr>
          <w:t>v</w:t>
        </w:r>
        <w:r w:rsidR="001267B2" w:rsidRPr="004A50C3">
          <w:rPr>
            <w:rStyle w:val="Hyperlink"/>
            <w:lang w:val="en-US"/>
          </w:rPr>
          <w:t>=</w:t>
        </w:r>
        <w:r w:rsidR="001267B2" w:rsidRPr="00A925D7">
          <w:rPr>
            <w:rStyle w:val="Hyperlink"/>
            <w:lang w:val="en-US"/>
          </w:rPr>
          <w:t>yVxDBojxnKA</w:t>
        </w:r>
        <w:r w:rsidR="001267B2" w:rsidRPr="004A50C3">
          <w:rPr>
            <w:rStyle w:val="Hyperlink"/>
            <w:lang w:val="en-US"/>
          </w:rPr>
          <w:t>&amp;</w:t>
        </w:r>
        <w:r w:rsidR="001267B2" w:rsidRPr="00A925D7">
          <w:rPr>
            <w:rStyle w:val="Hyperlink"/>
            <w:lang w:val="en-US"/>
          </w:rPr>
          <w:t>t</w:t>
        </w:r>
        <w:r w:rsidR="001267B2" w:rsidRPr="004A50C3">
          <w:rPr>
            <w:rStyle w:val="Hyperlink"/>
            <w:lang w:val="en-US"/>
          </w:rPr>
          <w:t>=2725</w:t>
        </w:r>
        <w:r w:rsidR="001267B2" w:rsidRPr="00A925D7">
          <w:rPr>
            <w:rStyle w:val="Hyperlink"/>
            <w:lang w:val="en-US"/>
          </w:rPr>
          <w:t>s</w:t>
        </w:r>
      </w:hyperlink>
    </w:p>
    <w:p w:rsidR="00925C8C" w:rsidRPr="00506D44" w:rsidRDefault="00506D44" w:rsidP="00506D44">
      <w:pPr>
        <w:widowControl w:val="0"/>
        <w:ind w:left="720"/>
        <w:jc w:val="both"/>
        <w:rPr>
          <w:lang w:val="en-US"/>
        </w:rPr>
      </w:pPr>
      <w:r w:rsidRPr="00506D44">
        <w:rPr>
          <w:lang w:val="en-US"/>
        </w:rPr>
        <w:t>Α</w:t>
      </w:r>
      <w:r w:rsidR="00925C8C" w:rsidRPr="00506D44">
        <w:rPr>
          <w:lang w:val="en-US"/>
        </w:rPr>
        <w:t xml:space="preserve">ronson, “Robert Wilson” </w:t>
      </w:r>
      <w:r w:rsidR="00925C8C">
        <w:t>στο</w:t>
      </w:r>
      <w:r w:rsidR="00925C8C" w:rsidRPr="00506D44">
        <w:rPr>
          <w:lang w:val="en-US"/>
        </w:rPr>
        <w:t xml:space="preserve"> </w:t>
      </w:r>
      <w:r w:rsidR="00925C8C" w:rsidRPr="00506D44">
        <w:rPr>
          <w:i/>
          <w:lang w:val="en-US"/>
        </w:rPr>
        <w:t xml:space="preserve">American </w:t>
      </w:r>
      <w:r w:rsidR="00925C8C" w:rsidRPr="00506D44">
        <w:rPr>
          <w:i/>
        </w:rPr>
        <w:t>Α</w:t>
      </w:r>
      <w:r w:rsidR="00925C8C" w:rsidRPr="00506D44">
        <w:rPr>
          <w:i/>
          <w:lang w:val="en-US"/>
        </w:rPr>
        <w:t xml:space="preserve">vant-garde </w:t>
      </w:r>
      <w:r w:rsidR="00925C8C" w:rsidRPr="00506D44">
        <w:rPr>
          <w:i/>
        </w:rPr>
        <w:t>Τ</w:t>
      </w:r>
      <w:r w:rsidR="00925C8C" w:rsidRPr="00506D44">
        <w:rPr>
          <w:i/>
          <w:lang w:val="en-US"/>
        </w:rPr>
        <w:t xml:space="preserve">heatre: </w:t>
      </w:r>
      <w:r w:rsidR="00925C8C" w:rsidRPr="00506D44">
        <w:rPr>
          <w:i/>
        </w:rPr>
        <w:t>Α</w:t>
      </w:r>
      <w:r w:rsidR="00925C8C" w:rsidRPr="00506D44">
        <w:rPr>
          <w:i/>
          <w:lang w:val="en-US"/>
        </w:rPr>
        <w:t xml:space="preserve"> </w:t>
      </w:r>
      <w:r w:rsidR="00925C8C" w:rsidRPr="00506D44">
        <w:rPr>
          <w:i/>
        </w:rPr>
        <w:t>Η</w:t>
      </w:r>
      <w:r w:rsidR="00925C8C" w:rsidRPr="00506D44">
        <w:rPr>
          <w:i/>
          <w:lang w:val="en-US"/>
        </w:rPr>
        <w:t>istory</w:t>
      </w:r>
      <w:r w:rsidR="00925C8C" w:rsidRPr="00506D44">
        <w:rPr>
          <w:lang w:val="en-US"/>
        </w:rPr>
        <w:t>, 122-133</w:t>
      </w:r>
    </w:p>
    <w:p w:rsidR="00925C8C" w:rsidRPr="00506D44" w:rsidRDefault="00925C8C" w:rsidP="00506D44">
      <w:pPr>
        <w:widowControl w:val="0"/>
        <w:ind w:left="720"/>
        <w:jc w:val="both"/>
        <w:rPr>
          <w:lang w:val="en-US"/>
        </w:rPr>
      </w:pPr>
      <w:r w:rsidRPr="00506D44">
        <w:rPr>
          <w:lang w:val="en-US"/>
        </w:rPr>
        <w:t xml:space="preserve">Brantley, “On the surface the Moral: Beneath that, the Blood.” </w:t>
      </w:r>
      <w:r w:rsidRPr="00506D44">
        <w:rPr>
          <w:i/>
          <w:lang w:val="en-US"/>
        </w:rPr>
        <w:t>The New York Times</w:t>
      </w:r>
      <w:r w:rsidRPr="00506D44">
        <w:rPr>
          <w:lang w:val="en-US"/>
        </w:rPr>
        <w:t xml:space="preserve"> July 12, 2007.</w:t>
      </w:r>
    </w:p>
    <w:p w:rsidR="00925C8C" w:rsidRDefault="00925C8C" w:rsidP="00506D44">
      <w:pPr>
        <w:widowControl w:val="0"/>
        <w:ind w:firstLine="720"/>
        <w:jc w:val="both"/>
        <w:rPr>
          <w:i/>
          <w:lang w:val="en-US"/>
        </w:rPr>
      </w:pPr>
      <w:r w:rsidRPr="00506D44">
        <w:rPr>
          <w:lang w:val="en-US"/>
        </w:rPr>
        <w:t xml:space="preserve">Marranca, “Introduction” </w:t>
      </w:r>
      <w:r>
        <w:t>στο</w:t>
      </w:r>
      <w:r w:rsidRPr="00506D44">
        <w:rPr>
          <w:lang w:val="en-US"/>
        </w:rPr>
        <w:t xml:space="preserve"> </w:t>
      </w:r>
      <w:r w:rsidRPr="00506D44">
        <w:rPr>
          <w:i/>
          <w:lang w:val="en-US"/>
        </w:rPr>
        <w:t>The Theatre of Images</w:t>
      </w:r>
    </w:p>
    <w:p w:rsidR="005F7FEA" w:rsidRPr="005F7FEA" w:rsidRDefault="00506D44" w:rsidP="00506D44">
      <w:pPr>
        <w:widowControl w:val="0"/>
        <w:ind w:firstLine="720"/>
        <w:jc w:val="both"/>
        <w:rPr>
          <w:lang w:val="en-US"/>
        </w:rPr>
      </w:pPr>
      <w:r>
        <w:rPr>
          <w:lang w:val="en-US"/>
        </w:rPr>
        <w:t xml:space="preserve">Shomit Mitter, </w:t>
      </w:r>
      <w:r w:rsidRPr="00506D44">
        <w:rPr>
          <w:lang w:val="en-US"/>
        </w:rPr>
        <w:t>«</w:t>
      </w:r>
      <w:r>
        <w:rPr>
          <w:lang w:val="en-US"/>
        </w:rPr>
        <w:t xml:space="preserve">Robert Wilson” </w:t>
      </w:r>
      <w:r>
        <w:t>στο</w:t>
      </w:r>
      <w:r w:rsidRPr="001267B2">
        <w:rPr>
          <w:lang w:val="en-US"/>
        </w:rPr>
        <w:t xml:space="preserve"> </w:t>
      </w:r>
      <w:r w:rsidRPr="00506D44">
        <w:rPr>
          <w:i/>
          <w:lang w:val="en-US"/>
        </w:rPr>
        <w:t>Fifty Key Theater Directors</w:t>
      </w:r>
      <w:r>
        <w:rPr>
          <w:lang w:val="en-US"/>
        </w:rPr>
        <w:t>, 185-190.</w:t>
      </w:r>
    </w:p>
    <w:p w:rsidR="00925C8C" w:rsidRDefault="00925C8C" w:rsidP="00925C8C">
      <w:pPr>
        <w:widowControl w:val="0"/>
        <w:ind w:firstLine="720"/>
        <w:jc w:val="both"/>
      </w:pPr>
      <w:r>
        <w:t xml:space="preserve">Ε. Βαροπούλου, «Ο Ουίλσον της παντομίμας» στο </w:t>
      </w:r>
      <w:r w:rsidRPr="0026614F">
        <w:rPr>
          <w:i/>
        </w:rPr>
        <w:t>Ζωντανό θέατρο</w:t>
      </w:r>
      <w:r>
        <w:t xml:space="preserve"> 108-112.</w:t>
      </w:r>
    </w:p>
    <w:p w:rsidR="00925C8C" w:rsidRPr="001C27A0" w:rsidRDefault="0034431D" w:rsidP="00506D44">
      <w:pPr>
        <w:pStyle w:val="ListParagraph"/>
        <w:widowControl w:val="0"/>
        <w:ind w:left="1080"/>
        <w:jc w:val="both"/>
        <w:rPr>
          <w:lang w:val="en-US"/>
        </w:rPr>
      </w:pPr>
      <w:hyperlink r:id="rId8" w:history="1">
        <w:r w:rsidR="00925C8C" w:rsidRPr="0015205C">
          <w:rPr>
            <w:rStyle w:val="Hyperlink"/>
            <w:lang w:val="en-US"/>
          </w:rPr>
          <w:t>www</w:t>
        </w:r>
        <w:r w:rsidR="00925C8C" w:rsidRPr="00925C8C">
          <w:rPr>
            <w:rStyle w:val="Hyperlink"/>
            <w:lang w:val="en-US"/>
          </w:rPr>
          <w:t>.</w:t>
        </w:r>
        <w:r w:rsidR="00925C8C" w:rsidRPr="0015205C">
          <w:rPr>
            <w:rStyle w:val="Hyperlink"/>
            <w:lang w:val="en-US"/>
          </w:rPr>
          <w:t>robertwilson</w:t>
        </w:r>
        <w:r w:rsidR="00925C8C" w:rsidRPr="00925C8C">
          <w:rPr>
            <w:rStyle w:val="Hyperlink"/>
            <w:lang w:val="en-US"/>
          </w:rPr>
          <w:t>.</w:t>
        </w:r>
        <w:r w:rsidR="00925C8C" w:rsidRPr="0015205C">
          <w:rPr>
            <w:rStyle w:val="Hyperlink"/>
            <w:lang w:val="en-US"/>
          </w:rPr>
          <w:t>com</w:t>
        </w:r>
      </w:hyperlink>
    </w:p>
    <w:p w:rsidR="00B12038" w:rsidRDefault="00B12038" w:rsidP="00B12038">
      <w:pPr>
        <w:widowControl w:val="0"/>
        <w:ind w:firstLine="720"/>
        <w:jc w:val="both"/>
        <w:rPr>
          <w:lang w:val="en-US"/>
        </w:rPr>
      </w:pPr>
      <w:r>
        <w:rPr>
          <w:lang w:val="en-US"/>
        </w:rPr>
        <w:t xml:space="preserve">H-Th Lehmann, Wilson or the landscape </w:t>
      </w:r>
      <w:r>
        <w:t>στο</w:t>
      </w:r>
      <w:r w:rsidRPr="001C27A0">
        <w:rPr>
          <w:lang w:val="en-US"/>
        </w:rPr>
        <w:t xml:space="preserve"> </w:t>
      </w:r>
      <w:r w:rsidRPr="00B12038">
        <w:rPr>
          <w:lang w:val="en-US"/>
        </w:rPr>
        <w:t xml:space="preserve"> </w:t>
      </w:r>
      <w:r w:rsidRPr="00B12038">
        <w:rPr>
          <w:i/>
          <w:lang w:val="en-US"/>
        </w:rPr>
        <w:t>Postdramatic Theatre</w:t>
      </w:r>
      <w:r>
        <w:rPr>
          <w:lang w:val="en-US"/>
        </w:rPr>
        <w:t>, 77-81</w:t>
      </w:r>
    </w:p>
    <w:p w:rsidR="00B12038" w:rsidRPr="00B12038" w:rsidRDefault="00B12038" w:rsidP="00B12038">
      <w:pPr>
        <w:widowControl w:val="0"/>
        <w:ind w:left="720"/>
        <w:jc w:val="both"/>
      </w:pPr>
      <w:r>
        <w:t xml:space="preserve">Α. Αρτώ, “Το θέατρο θέατρο και η σκληρότητα” στο </w:t>
      </w:r>
      <w:r w:rsidRPr="00B12038">
        <w:rPr>
          <w:i/>
        </w:rPr>
        <w:t>Το θέατρο και το είδωλό του</w:t>
      </w:r>
      <w:r>
        <w:t>, 95-114.</w:t>
      </w:r>
    </w:p>
    <w:p w:rsidR="00B12038" w:rsidRPr="00B12038" w:rsidRDefault="00B12038" w:rsidP="00B12038">
      <w:pPr>
        <w:widowControl w:val="0"/>
        <w:jc w:val="both"/>
      </w:pPr>
    </w:p>
    <w:p w:rsidR="004A50C3" w:rsidRPr="00B12038" w:rsidRDefault="004A50C3" w:rsidP="004A50C3">
      <w:pPr>
        <w:widowControl w:val="0"/>
        <w:jc w:val="both"/>
      </w:pPr>
    </w:p>
    <w:p w:rsidR="007F4189" w:rsidRPr="00B12038" w:rsidRDefault="007F4189" w:rsidP="007F4189">
      <w:pPr>
        <w:widowControl w:val="0"/>
        <w:ind w:left="720"/>
      </w:pPr>
    </w:p>
    <w:p w:rsidR="007F4189" w:rsidRDefault="00925C8C" w:rsidP="007F4189">
      <w:pPr>
        <w:pStyle w:val="ListParagraph"/>
        <w:widowControl w:val="0"/>
        <w:ind w:left="0"/>
        <w:jc w:val="both"/>
        <w:rPr>
          <w:lang w:val="en-US"/>
        </w:rPr>
      </w:pPr>
      <w:r>
        <w:rPr>
          <w:lang w:val="en-US"/>
        </w:rPr>
        <w:t>4. 5.</w:t>
      </w:r>
      <w:r w:rsidR="007F4189">
        <w:rPr>
          <w:lang w:val="en-US"/>
        </w:rPr>
        <w:t xml:space="preserve"> </w:t>
      </w:r>
      <w:r w:rsidR="007F4189">
        <w:rPr>
          <w:lang w:val="en-US"/>
        </w:rPr>
        <w:tab/>
        <w:t>Sophie Calle</w:t>
      </w:r>
      <w:r w:rsidR="007F4189" w:rsidRPr="00972AA9">
        <w:rPr>
          <w:lang w:val="en-US"/>
        </w:rPr>
        <w:t xml:space="preserve">, </w:t>
      </w:r>
      <w:r w:rsidR="007F4189">
        <w:rPr>
          <w:lang w:val="en-US"/>
        </w:rPr>
        <w:t xml:space="preserve">“Prenez Soin de Vous” </w:t>
      </w:r>
      <w:r w:rsidR="007F4189">
        <w:t>και</w:t>
      </w:r>
      <w:r w:rsidR="007F4189" w:rsidRPr="00972AA9">
        <w:rPr>
          <w:lang w:val="en-US"/>
        </w:rPr>
        <w:t xml:space="preserve"> </w:t>
      </w:r>
      <w:r w:rsidR="007F4189">
        <w:rPr>
          <w:lang w:val="en-US"/>
        </w:rPr>
        <w:t>Emily Jacir “Where we come from”</w:t>
      </w:r>
    </w:p>
    <w:p w:rsidR="007F4189" w:rsidRPr="00972AA9" w:rsidRDefault="007F4189" w:rsidP="007F4189">
      <w:pPr>
        <w:pStyle w:val="ListParagraph"/>
        <w:widowControl w:val="0"/>
        <w:ind w:left="0"/>
        <w:jc w:val="both"/>
        <w:rPr>
          <w:lang w:val="en-US"/>
        </w:rPr>
      </w:pPr>
      <w:r>
        <w:rPr>
          <w:lang w:val="en-US"/>
        </w:rPr>
        <w:tab/>
        <w:t xml:space="preserve">E. Jacir, “Where we come from” </w:t>
      </w:r>
      <w:r w:rsidRPr="00972AA9">
        <w:rPr>
          <w:i/>
          <w:lang w:val="en-US"/>
        </w:rPr>
        <w:t>Grand Street</w:t>
      </w:r>
      <w:r>
        <w:rPr>
          <w:lang w:val="en-US"/>
        </w:rPr>
        <w:t xml:space="preserve"> 72 </w:t>
      </w:r>
      <w:r w:rsidRPr="00972AA9">
        <w:rPr>
          <w:i/>
          <w:lang w:val="en-US"/>
        </w:rPr>
        <w:t>Detours</w:t>
      </w:r>
      <w:r>
        <w:rPr>
          <w:lang w:val="en-US"/>
        </w:rPr>
        <w:t xml:space="preserve"> (2003), </w:t>
      </w:r>
      <w:r>
        <w:t>σ</w:t>
      </w:r>
      <w:r w:rsidRPr="00972AA9">
        <w:rPr>
          <w:lang w:val="en-US"/>
        </w:rPr>
        <w:t>. 95-105.</w:t>
      </w:r>
    </w:p>
    <w:p w:rsidR="007F4189" w:rsidRDefault="007F4189" w:rsidP="007F4189">
      <w:pPr>
        <w:pStyle w:val="ListParagraph"/>
        <w:widowControl w:val="0"/>
        <w:jc w:val="both"/>
        <w:rPr>
          <w:lang w:val="en-US"/>
        </w:rPr>
      </w:pPr>
      <w:r>
        <w:rPr>
          <w:lang w:val="en-US"/>
        </w:rPr>
        <w:t>K</w:t>
      </w:r>
      <w:r w:rsidRPr="00972AA9">
        <w:rPr>
          <w:lang w:val="en-US"/>
        </w:rPr>
        <w:t xml:space="preserve">. </w:t>
      </w:r>
      <w:r>
        <w:rPr>
          <w:lang w:val="en-US"/>
        </w:rPr>
        <w:t>Houston, “Remote Control: Distance in Two Works by Emily Jacir and Wafaa Bilal” SECAC Review XVI (2).</w:t>
      </w:r>
      <w:r w:rsidRPr="00972AA9">
        <w:rPr>
          <w:lang w:val="en-US"/>
        </w:rPr>
        <w:t xml:space="preserve"> </w:t>
      </w:r>
    </w:p>
    <w:p w:rsidR="007F4189" w:rsidRPr="008B0965" w:rsidRDefault="007F4189" w:rsidP="007F4189">
      <w:pPr>
        <w:pStyle w:val="ListParagraph"/>
        <w:widowControl w:val="0"/>
        <w:jc w:val="both"/>
        <w:rPr>
          <w:lang w:val="en-US"/>
        </w:rPr>
      </w:pPr>
      <w:r>
        <w:rPr>
          <w:lang w:val="en-US"/>
        </w:rPr>
        <w:t xml:space="preserve">Jordan, Sh. “Performance in Sophie Calle’s </w:t>
      </w:r>
      <w:r w:rsidRPr="00972AA9">
        <w:rPr>
          <w:i/>
          <w:lang w:val="en-US"/>
        </w:rPr>
        <w:t>Prenez Soin de Vous</w:t>
      </w:r>
      <w:r>
        <w:rPr>
          <w:lang w:val="en-US"/>
        </w:rPr>
        <w:t xml:space="preserve">” </w:t>
      </w:r>
      <w:r w:rsidRPr="00972AA9">
        <w:rPr>
          <w:i/>
          <w:lang w:val="en-US"/>
        </w:rPr>
        <w:t>French Cultural Studies</w:t>
      </w:r>
      <w:r>
        <w:rPr>
          <w:lang w:val="en-US"/>
        </w:rPr>
        <w:t xml:space="preserve"> 2 (4) (2013).</w:t>
      </w:r>
    </w:p>
    <w:p w:rsidR="007F4189" w:rsidRPr="004B0860" w:rsidRDefault="007F4189" w:rsidP="007F4189">
      <w:pPr>
        <w:ind w:left="720"/>
      </w:pPr>
      <w:r w:rsidRPr="004B0860">
        <w:t>Κοτζαμάνη: “</w:t>
      </w:r>
      <w:r w:rsidRPr="004B0860">
        <w:rPr>
          <w:lang w:val="en-US"/>
        </w:rPr>
        <w:t>Emily</w:t>
      </w:r>
      <w:r w:rsidRPr="004B0860">
        <w:t xml:space="preserve"> </w:t>
      </w:r>
      <w:r w:rsidRPr="004B0860">
        <w:rPr>
          <w:lang w:val="en-US"/>
        </w:rPr>
        <w:t>Jacir</w:t>
      </w:r>
      <w:r w:rsidRPr="004B0860">
        <w:t xml:space="preserve"> και </w:t>
      </w:r>
      <w:r w:rsidRPr="004B0860">
        <w:rPr>
          <w:lang w:val="en-US"/>
        </w:rPr>
        <w:t>Sophie</w:t>
      </w:r>
      <w:r w:rsidRPr="004B0860">
        <w:t xml:space="preserve"> </w:t>
      </w:r>
      <w:r w:rsidRPr="004B0860">
        <w:rPr>
          <w:lang w:val="en-US"/>
        </w:rPr>
        <w:t>Calle</w:t>
      </w:r>
      <w:r w:rsidRPr="004B0860">
        <w:t>: καταστολή, παράβαση και συλλογικότητα στη σύγχρονη τέχνη” (</w:t>
      </w:r>
      <w:r>
        <w:t>Πρακτικά 6</w:t>
      </w:r>
      <w:r w:rsidRPr="004B0860">
        <w:rPr>
          <w:vertAlign w:val="superscript"/>
        </w:rPr>
        <w:t>ου</w:t>
      </w:r>
      <w:r>
        <w:t xml:space="preserve"> Πανελλήνιου Θεατρολογικού Συνεδρίου, Τμήμα Θεατρικών Σπουδών, ΠΑΠΕΛ).</w:t>
      </w:r>
    </w:p>
    <w:p w:rsidR="007F4189" w:rsidRDefault="007F4189" w:rsidP="007F4189">
      <w:pPr>
        <w:widowControl w:val="0"/>
      </w:pPr>
    </w:p>
    <w:p w:rsidR="007F4189" w:rsidRDefault="00925C8C" w:rsidP="007F4189">
      <w:r>
        <w:rPr>
          <w:iCs/>
        </w:rPr>
        <w:t>6.</w:t>
      </w:r>
      <w:r w:rsidR="007F4189">
        <w:rPr>
          <w:i/>
          <w:iCs/>
        </w:rPr>
        <w:t xml:space="preserve">  </w:t>
      </w:r>
      <w:r w:rsidR="007F4189">
        <w:rPr>
          <w:i/>
          <w:iCs/>
        </w:rPr>
        <w:tab/>
      </w:r>
      <w:r w:rsidR="007F4189" w:rsidRPr="00EB60C9">
        <w:rPr>
          <w:i/>
          <w:iCs/>
        </w:rPr>
        <w:t>Πολύτοπον των Μυκηνών</w:t>
      </w:r>
      <w:r w:rsidR="007F4189">
        <w:t xml:space="preserve"> του Ι. Ξενάκη (1978)</w:t>
      </w:r>
    </w:p>
    <w:p w:rsidR="007F4189" w:rsidRDefault="007F4189" w:rsidP="007F4189">
      <w:pPr>
        <w:ind w:left="720"/>
      </w:pPr>
      <w:r>
        <w:t xml:space="preserve">Σε κινηματογράφηση του Κ. Φέρρη στο </w:t>
      </w:r>
      <w:r w:rsidRPr="00C90D63">
        <w:t>https://www.youtube.com/watch?v=Yzfn_TC9GO0</w:t>
      </w:r>
    </w:p>
    <w:p w:rsidR="007F4189" w:rsidRDefault="007F4189" w:rsidP="007F4189">
      <w:pPr>
        <w:ind w:left="720"/>
        <w:rPr>
          <w:lang w:val="en-US"/>
        </w:rPr>
      </w:pPr>
      <w:r>
        <w:rPr>
          <w:lang w:val="en-US"/>
        </w:rPr>
        <w:t xml:space="preserve">O. Touloumi, “The Politics of Totality …” </w:t>
      </w:r>
      <w:r>
        <w:t>στο</w:t>
      </w:r>
      <w:r w:rsidRPr="00BE183A">
        <w:rPr>
          <w:lang w:val="en-US"/>
        </w:rPr>
        <w:t xml:space="preserve"> </w:t>
      </w:r>
      <w:r>
        <w:rPr>
          <w:lang w:val="en-US"/>
        </w:rPr>
        <w:t>Sharon Kannach, ed. Xenakis Matters.  Pendragon Press.</w:t>
      </w:r>
    </w:p>
    <w:p w:rsidR="006916B1" w:rsidRPr="006916B1" w:rsidRDefault="007F4189" w:rsidP="00B12038">
      <w:pPr>
        <w:ind w:left="720"/>
        <w:rPr>
          <w:lang w:val="en-US"/>
        </w:rPr>
      </w:pPr>
      <w:r>
        <w:rPr>
          <w:lang w:val="en-US"/>
        </w:rPr>
        <w:t xml:space="preserve">M. Kotzamani, </w:t>
      </w:r>
      <w:r w:rsidRPr="003E56C0">
        <w:rPr>
          <w:lang w:val="en-US"/>
        </w:rPr>
        <w:t xml:space="preserve">“Greek History as Environmental Performance: Iannis Xenakis’ </w:t>
      </w:r>
      <w:r w:rsidRPr="003E56C0">
        <w:rPr>
          <w:i/>
          <w:lang w:val="en-US"/>
        </w:rPr>
        <w:t>Mycenae Polytopon</w:t>
      </w:r>
      <w:r w:rsidRPr="003E56C0">
        <w:rPr>
          <w:lang w:val="en-US"/>
        </w:rPr>
        <w:t xml:space="preserve"> and Beyond” </w:t>
      </w:r>
      <w:r w:rsidRPr="003E56C0">
        <w:rPr>
          <w:i/>
          <w:lang w:val="en-US"/>
        </w:rPr>
        <w:t>Gramma</w:t>
      </w:r>
      <w:r>
        <w:rPr>
          <w:lang w:val="en-US"/>
        </w:rPr>
        <w:t xml:space="preserve">, Vol. 24 </w:t>
      </w:r>
    </w:p>
    <w:p w:rsidR="006916B1" w:rsidRPr="001267B2" w:rsidRDefault="006916B1" w:rsidP="007F4189">
      <w:pPr>
        <w:ind w:left="720" w:hanging="720"/>
        <w:rPr>
          <w:lang w:val="en-US"/>
        </w:rPr>
      </w:pPr>
    </w:p>
    <w:p w:rsidR="00846035" w:rsidRDefault="00B12038" w:rsidP="007F4189">
      <w:pPr>
        <w:ind w:left="720" w:hanging="720"/>
      </w:pPr>
      <w:r>
        <w:t xml:space="preserve">7. </w:t>
      </w:r>
      <w:r w:rsidR="006916B1">
        <w:tab/>
      </w:r>
      <w:r w:rsidR="006916B1" w:rsidRPr="00745BDC">
        <w:rPr>
          <w:i/>
          <w:lang w:val="en-US"/>
        </w:rPr>
        <w:t>ExCorpo</w:t>
      </w:r>
      <w:r w:rsidR="006916B1" w:rsidRPr="006916B1">
        <w:t xml:space="preserve"> </w:t>
      </w:r>
      <w:r w:rsidR="006916B1">
        <w:t xml:space="preserve">και </w:t>
      </w:r>
      <w:r w:rsidR="006916B1" w:rsidRPr="00745BDC">
        <w:rPr>
          <w:i/>
        </w:rPr>
        <w:t>Λύσις</w:t>
      </w:r>
      <w:r w:rsidR="006916B1">
        <w:t xml:space="preserve"> της Μαίρης Ζυγούρη.  Πρόσκληση στην </w:t>
      </w:r>
      <w:r w:rsidR="00846035">
        <w:t>καλλιτέχνιδα</w:t>
      </w:r>
      <w:r>
        <w:t xml:space="preserve"> στο μάθημα στις 21/5/24</w:t>
      </w:r>
    </w:p>
    <w:p w:rsidR="00B12038" w:rsidRDefault="00B12038" w:rsidP="007F4189">
      <w:pPr>
        <w:ind w:left="720" w:hanging="720"/>
      </w:pPr>
      <w:r>
        <w:tab/>
      </w:r>
      <w:r>
        <w:rPr>
          <w:lang w:val="en-US"/>
        </w:rPr>
        <w:t>Rachel</w:t>
      </w:r>
      <w:r w:rsidRPr="00B12038">
        <w:t xml:space="preserve"> </w:t>
      </w:r>
      <w:r>
        <w:rPr>
          <w:lang w:val="en-US"/>
        </w:rPr>
        <w:t>Hann</w:t>
      </w:r>
      <w:r w:rsidRPr="00B12038">
        <w:t xml:space="preserve">, </w:t>
      </w:r>
      <w:r>
        <w:t xml:space="preserve">“Πρόλογος.  Στα όρια της σκηνογραφίας” στο </w:t>
      </w:r>
      <w:r w:rsidR="002C686D" w:rsidRPr="002C686D">
        <w:rPr>
          <w:i/>
        </w:rPr>
        <w:t>Σκηνογραφία και ιστορία της τέχνης</w:t>
      </w:r>
      <w:r w:rsidR="002C686D">
        <w:t>, 23-26.</w:t>
      </w:r>
    </w:p>
    <w:p w:rsidR="002C686D" w:rsidRDefault="002C686D" w:rsidP="007F4189">
      <w:pPr>
        <w:ind w:left="720" w:hanging="720"/>
      </w:pPr>
      <w:r>
        <w:tab/>
        <w:t>Μαρίνα Κοτζαμάνη, “Ποιος είναι ο τρίτος που περπατεί πάντα στο πλάι σου</w:t>
      </w:r>
      <w:r w:rsidRPr="002C686D">
        <w:t xml:space="preserve">;  </w:t>
      </w:r>
      <w:r>
        <w:t xml:space="preserve">Σκηνογραφώντας την μεταμόρφωση στο </w:t>
      </w:r>
      <w:r>
        <w:rPr>
          <w:lang w:val="en-US"/>
        </w:rPr>
        <w:t>ExCorpo</w:t>
      </w:r>
      <w:r w:rsidRPr="002C686D">
        <w:t xml:space="preserve"> </w:t>
      </w:r>
      <w:r>
        <w:t xml:space="preserve">της Μαίρης Ζυγούρη” στο </w:t>
      </w:r>
      <w:r w:rsidRPr="002C686D">
        <w:rPr>
          <w:i/>
        </w:rPr>
        <w:t>Σκηνογραφία και ιστορία της τέ</w:t>
      </w:r>
      <w:r>
        <w:rPr>
          <w:i/>
        </w:rPr>
        <w:t>;</w:t>
      </w:r>
      <w:r w:rsidRPr="002C686D">
        <w:rPr>
          <w:i/>
        </w:rPr>
        <w:t>χνης</w:t>
      </w:r>
    </w:p>
    <w:p w:rsidR="004B04C7" w:rsidRPr="004B04C7" w:rsidRDefault="004B04C7" w:rsidP="007F4189">
      <w:pPr>
        <w:ind w:left="720" w:hanging="720"/>
      </w:pPr>
      <w:r>
        <w:tab/>
        <w:t>Μ. Ζυγούρη, “Τοπογραφική συνθήκη</w:t>
      </w:r>
      <w:r w:rsidRPr="004B04C7">
        <w:t xml:space="preserve">: </w:t>
      </w:r>
      <w:r>
        <w:t xml:space="preserve">Το νερό οδοδείκτης” στο </w:t>
      </w:r>
      <w:r w:rsidRPr="004B04C7">
        <w:rPr>
          <w:i/>
          <w:lang w:val="en-US"/>
        </w:rPr>
        <w:t>Inspire</w:t>
      </w:r>
      <w:r w:rsidRPr="004B04C7">
        <w:rPr>
          <w:i/>
        </w:rPr>
        <w:t xml:space="preserve"> </w:t>
      </w:r>
      <w:r w:rsidRPr="004B04C7">
        <w:rPr>
          <w:i/>
          <w:lang w:val="en-US"/>
        </w:rPr>
        <w:t>Project</w:t>
      </w:r>
      <w:r w:rsidRPr="004B04C7">
        <w:rPr>
          <w:i/>
        </w:rPr>
        <w:t xml:space="preserve"> 2020</w:t>
      </w:r>
      <w:r w:rsidRPr="004B04C7">
        <w:t>.</w:t>
      </w:r>
    </w:p>
    <w:p w:rsidR="002C686D" w:rsidRPr="00B12038" w:rsidRDefault="002C686D" w:rsidP="007F4189">
      <w:pPr>
        <w:ind w:left="720" w:hanging="720"/>
      </w:pPr>
      <w:r>
        <w:tab/>
      </w:r>
    </w:p>
    <w:p w:rsidR="00846035" w:rsidRDefault="004B04C7" w:rsidP="004B04C7">
      <w:pPr>
        <w:ind w:left="720" w:hanging="720"/>
      </w:pPr>
      <w:r w:rsidRPr="001C27A0">
        <w:t xml:space="preserve">8.  </w:t>
      </w:r>
      <w:r w:rsidRPr="001C27A0">
        <w:tab/>
      </w:r>
      <w:r w:rsidR="001C27A0">
        <w:t xml:space="preserve">Πρόσκληση στην σκηνοθέτιδα και περφόρμερ Άννα Τζάκου στις 28/5/24 για τη διεξαγωγή σεμιναρίου και συζήτηση σχετικά με το έργο της.  </w:t>
      </w:r>
    </w:p>
    <w:p w:rsidR="001C27A0" w:rsidRDefault="001C27A0" w:rsidP="004B04C7">
      <w:pPr>
        <w:ind w:left="720" w:hanging="720"/>
      </w:pPr>
    </w:p>
    <w:p w:rsidR="001C27A0" w:rsidRPr="001C27A0" w:rsidRDefault="001C27A0" w:rsidP="001C27A0">
      <w:pPr>
        <w:ind w:left="720"/>
      </w:pPr>
      <w:r w:rsidRPr="001C27A0">
        <w:t xml:space="preserve">Τζάκου, Άννα, «“Στην Αγκαλιά του Φιδιού” (ή πώς μια παραστατική πρακτική τοπίου λειτουργεί ως άσκηση του “είμαι”)», στο </w:t>
      </w:r>
      <w:r w:rsidRPr="001C27A0">
        <w:rPr>
          <w:i/>
          <w:iCs/>
        </w:rPr>
        <w:t>Ανθρωπόκαινος</w:t>
      </w:r>
      <w:r w:rsidRPr="001C27A0">
        <w:t>, περιοδικό ΦΡΜΚ, τχ 17 (2022). </w:t>
      </w:r>
    </w:p>
    <w:p w:rsidR="001C27A0" w:rsidRDefault="001C27A0" w:rsidP="001C27A0">
      <w:pPr>
        <w:spacing w:line="256" w:lineRule="auto"/>
        <w:ind w:left="720"/>
        <w:jc w:val="both"/>
      </w:pPr>
      <w:r w:rsidRPr="001C27A0">
        <w:t xml:space="preserve">Τζάκου, Άννα, «Προς Αναζήτηση Ορίζοντα: Ο Δημόσιος Χώρος ως Μυθικό Ονείρεμα του Παρόντος» </w:t>
      </w:r>
      <w:r>
        <w:t xml:space="preserve">στο </w:t>
      </w:r>
      <w:r w:rsidRPr="001C27A0">
        <w:rPr>
          <w:i/>
          <w:iCs/>
        </w:rPr>
        <w:t>Θέατρο και Παραστατικές τέχνες στον 21ο αιώνα. Η αγωνία και ο αγώνας του επαναπροσδιορισμού</w:t>
      </w:r>
      <w:r w:rsidRPr="001C27A0">
        <w:t xml:space="preserve">, </w:t>
      </w:r>
      <w:r w:rsidRPr="001C27A0">
        <w:rPr>
          <w:lang w:val="en-US"/>
        </w:rPr>
        <w:t>e</w:t>
      </w:r>
      <w:r w:rsidRPr="001C27A0">
        <w:t>-</w:t>
      </w:r>
      <w:r w:rsidRPr="001C27A0">
        <w:rPr>
          <w:lang w:val="en-US"/>
        </w:rPr>
        <w:t>book</w:t>
      </w:r>
      <w:r w:rsidRPr="001C27A0">
        <w:t xml:space="preserve">, σελ. 259 στο </w:t>
      </w:r>
      <w:r w:rsidRPr="001C27A0">
        <w:rPr>
          <w:lang w:val="en-US"/>
        </w:rPr>
        <w:t>pdf</w:t>
      </w:r>
      <w:r w:rsidRPr="001C27A0">
        <w:t>.</w:t>
      </w:r>
      <w:r w:rsidRPr="001C27A0">
        <w:rPr>
          <w:lang w:val="en-US"/>
        </w:rPr>
        <w:t> </w:t>
      </w:r>
    </w:p>
    <w:p w:rsidR="001C27A0" w:rsidRPr="001C27A0" w:rsidRDefault="001C27A0" w:rsidP="001C27A0">
      <w:pPr>
        <w:spacing w:line="256" w:lineRule="auto"/>
        <w:ind w:left="720"/>
        <w:jc w:val="both"/>
      </w:pPr>
      <w:r w:rsidRPr="001C27A0">
        <w:t>Τζάκου, Άννα, «</w:t>
      </w:r>
      <w:r w:rsidRPr="001C27A0">
        <w:rPr>
          <w:lang w:val="en-US"/>
        </w:rPr>
        <w:t>The</w:t>
      </w:r>
      <w:r w:rsidRPr="001C27A0">
        <w:t xml:space="preserve"> </w:t>
      </w:r>
      <w:r w:rsidRPr="001C27A0">
        <w:rPr>
          <w:lang w:val="en-US"/>
        </w:rPr>
        <w:t>Geopoetics</w:t>
      </w:r>
      <w:r w:rsidRPr="001C27A0">
        <w:t xml:space="preserve"> </w:t>
      </w:r>
      <w:r w:rsidRPr="001C27A0">
        <w:rPr>
          <w:lang w:val="en-US"/>
        </w:rPr>
        <w:t>Project</w:t>
      </w:r>
      <w:r w:rsidRPr="001C27A0">
        <w:t xml:space="preserve">: Επιτελώντας το Παραστατικό Συμβάν του Τοπίου»  στο </w:t>
      </w:r>
      <w:r w:rsidRPr="001C27A0">
        <w:rPr>
          <w:i/>
          <w:iCs/>
        </w:rPr>
        <w:t xml:space="preserve">10 χρόνια </w:t>
      </w:r>
      <w:r w:rsidRPr="001C27A0">
        <w:rPr>
          <w:i/>
          <w:iCs/>
          <w:lang w:val="en-US"/>
        </w:rPr>
        <w:t>Performance</w:t>
      </w:r>
      <w:r w:rsidRPr="001C27A0">
        <w:rPr>
          <w:i/>
          <w:iCs/>
        </w:rPr>
        <w:t xml:space="preserve"> </w:t>
      </w:r>
      <w:r w:rsidRPr="001C27A0">
        <w:rPr>
          <w:i/>
          <w:iCs/>
          <w:lang w:val="en-US"/>
        </w:rPr>
        <w:t>now</w:t>
      </w:r>
      <w:r w:rsidRPr="001C27A0">
        <w:t>, σελ. 49 στο pdf.</w:t>
      </w:r>
    </w:p>
    <w:p w:rsidR="001C27A0" w:rsidRPr="001C27A0" w:rsidRDefault="001C27A0" w:rsidP="001C27A0">
      <w:pPr>
        <w:spacing w:line="256" w:lineRule="auto"/>
        <w:ind w:left="720"/>
        <w:jc w:val="both"/>
        <w:rPr>
          <w:lang w:val="en-US"/>
        </w:rPr>
      </w:pPr>
      <w:r w:rsidRPr="001C27A0">
        <w:rPr>
          <w:lang w:val="en-US"/>
        </w:rPr>
        <w:t xml:space="preserve">Tzakou, Anna, 'Geopoetics: A Buddhist-inspired site-specific performance practice' in </w:t>
      </w:r>
      <w:r w:rsidRPr="001C27A0">
        <w:rPr>
          <w:i/>
          <w:iCs/>
          <w:lang w:val="en-US"/>
        </w:rPr>
        <w:t>Dancing with Dharma: Essays on Movement and Dance in Western Buddhism</w:t>
      </w:r>
      <w:r w:rsidRPr="001C27A0">
        <w:rPr>
          <w:lang w:val="en-US"/>
        </w:rPr>
        <w:t xml:space="preserve"> (Ed. by Harrison Blume), NC: McFarland, </w:t>
      </w:r>
      <w:r w:rsidRPr="001C27A0">
        <w:t>σελ</w:t>
      </w:r>
      <w:r w:rsidRPr="001C27A0">
        <w:rPr>
          <w:lang w:val="en-US"/>
        </w:rPr>
        <w:t>. 246-250.</w:t>
      </w:r>
    </w:p>
    <w:p w:rsidR="001C27A0" w:rsidRPr="00656CE5" w:rsidRDefault="001C27A0" w:rsidP="001C27A0">
      <w:pPr>
        <w:spacing w:line="256" w:lineRule="auto"/>
        <w:jc w:val="both"/>
        <w:rPr>
          <w:lang w:val="en-US"/>
        </w:rPr>
      </w:pPr>
    </w:p>
    <w:p w:rsidR="001C27A0" w:rsidRPr="00656CE5" w:rsidRDefault="0034431D" w:rsidP="001C27A0">
      <w:pPr>
        <w:spacing w:line="256" w:lineRule="auto"/>
        <w:ind w:firstLine="720"/>
        <w:jc w:val="both"/>
        <w:rPr>
          <w:lang w:val="en-US"/>
        </w:rPr>
      </w:pPr>
      <w:hyperlink r:id="rId9" w:tgtFrame="_blank" w:history="1">
        <w:r w:rsidR="001C27A0" w:rsidRPr="00656CE5">
          <w:rPr>
            <w:rStyle w:val="Hyperlink"/>
            <w:rFonts w:eastAsia="Athens"/>
            <w:lang w:val="en-US"/>
          </w:rPr>
          <w:t>https://annatzakou-geopoetics.com/portfolio-item/performance-anaparastasi/</w:t>
        </w:r>
      </w:hyperlink>
    </w:p>
    <w:p w:rsidR="001C27A0" w:rsidRPr="00656CE5" w:rsidRDefault="0034431D" w:rsidP="001C27A0">
      <w:pPr>
        <w:spacing w:line="256" w:lineRule="auto"/>
        <w:ind w:firstLine="720"/>
        <w:jc w:val="both"/>
        <w:rPr>
          <w:lang w:val="en-US"/>
        </w:rPr>
      </w:pPr>
      <w:hyperlink r:id="rId10" w:tgtFrame="_blank" w:history="1">
        <w:r w:rsidR="001C27A0" w:rsidRPr="00656CE5">
          <w:rPr>
            <w:rStyle w:val="Hyperlink"/>
            <w:rFonts w:eastAsia="Athens"/>
            <w:lang w:val="en-US"/>
          </w:rPr>
          <w:t>https://annatzakou-geopoetics.com/portfolio-item/rea-frantzi-exodus/</w:t>
        </w:r>
      </w:hyperlink>
    </w:p>
    <w:p w:rsidR="001C27A0" w:rsidRPr="00656CE5" w:rsidRDefault="0034431D" w:rsidP="001C27A0">
      <w:pPr>
        <w:spacing w:line="256" w:lineRule="auto"/>
        <w:ind w:firstLine="720"/>
        <w:jc w:val="both"/>
        <w:rPr>
          <w:lang w:val="en-US"/>
        </w:rPr>
      </w:pPr>
      <w:hyperlink r:id="rId11" w:tgtFrame="_blank" w:history="1">
        <w:r w:rsidR="001C27A0" w:rsidRPr="00656CE5">
          <w:rPr>
            <w:rStyle w:val="Hyperlink"/>
            <w:rFonts w:eastAsia="Athens"/>
            <w:lang w:val="en-US"/>
          </w:rPr>
          <w:t>https://annatzakou-geopoetics.com/portfolio-item/the-geopoetics-project/</w:t>
        </w:r>
      </w:hyperlink>
    </w:p>
    <w:p w:rsidR="001C27A0" w:rsidRDefault="0034431D" w:rsidP="002950DD">
      <w:pPr>
        <w:spacing w:line="256" w:lineRule="auto"/>
        <w:ind w:firstLine="720"/>
        <w:jc w:val="both"/>
      </w:pPr>
      <w:hyperlink r:id="rId12" w:tgtFrame="_blank" w:history="1">
        <w:r w:rsidR="001C27A0" w:rsidRPr="001C27A0">
          <w:rPr>
            <w:rStyle w:val="Hyperlink"/>
            <w:rFonts w:eastAsia="Athens"/>
          </w:rPr>
          <w:t>https://thevolaxproject.com/ensomati-empeiria</w:t>
        </w:r>
      </w:hyperlink>
    </w:p>
    <w:p w:rsidR="006916B1" w:rsidRPr="006916B1" w:rsidRDefault="006916B1" w:rsidP="007F4189">
      <w:pPr>
        <w:ind w:left="720" w:hanging="720"/>
      </w:pPr>
    </w:p>
    <w:p w:rsidR="007F4189" w:rsidRPr="006916B1" w:rsidRDefault="007F4189" w:rsidP="007F4189">
      <w:pPr>
        <w:widowControl w:val="0"/>
        <w:jc w:val="both"/>
      </w:pPr>
      <w:r>
        <w:t>9, 10</w:t>
      </w:r>
      <w:r>
        <w:tab/>
        <w:t>Προφορικές παρουσιάσεις στην τάξη που θα σχετίζονται με το θέμα της δεύτερης εργασίας.</w:t>
      </w:r>
    </w:p>
    <w:p w:rsidR="006916B1" w:rsidRPr="006916B1" w:rsidRDefault="006916B1" w:rsidP="007F4189">
      <w:pPr>
        <w:widowControl w:val="0"/>
        <w:jc w:val="both"/>
      </w:pPr>
    </w:p>
    <w:p w:rsidR="006916B1" w:rsidRPr="006916B1" w:rsidRDefault="006916B1" w:rsidP="006916B1">
      <w:pPr>
        <w:widowControl w:val="0"/>
        <w:jc w:val="both"/>
      </w:pPr>
      <w:r>
        <w:t>Στο παραπάνω πρόγραμμα ενσωματώνονται τα εξής</w:t>
      </w:r>
      <w:r w:rsidRPr="006916B1">
        <w:t>:</w:t>
      </w:r>
    </w:p>
    <w:p w:rsidR="006916B1" w:rsidRPr="00745BDC" w:rsidRDefault="006916B1" w:rsidP="006916B1">
      <w:pPr>
        <w:pStyle w:val="ListParagraph"/>
        <w:widowControl w:val="0"/>
        <w:numPr>
          <w:ilvl w:val="0"/>
          <w:numId w:val="3"/>
        </w:numPr>
        <w:jc w:val="both"/>
      </w:pPr>
      <w:r>
        <w:t xml:space="preserve">Παρακακολούθηση του διεθνούς συνεδρίου </w:t>
      </w:r>
      <w:r w:rsidR="00745BDC">
        <w:t xml:space="preserve">«Διευρυμένη Σκηνογραφία, Περφόρμανς και Δημόσιος Χώρος», στην Αθήνα, 17-20 Απριλίου (το πρόγραμμα επισυνάπτεται στο </w:t>
      </w:r>
      <w:r w:rsidR="00745BDC">
        <w:rPr>
          <w:lang w:val="en-US"/>
        </w:rPr>
        <w:t>e</w:t>
      </w:r>
      <w:r w:rsidR="00745BDC" w:rsidRPr="00745BDC">
        <w:t>-</w:t>
      </w:r>
      <w:r w:rsidR="00745BDC">
        <w:rPr>
          <w:lang w:val="en-US"/>
        </w:rPr>
        <w:t>class</w:t>
      </w:r>
      <w:r w:rsidR="00745BDC" w:rsidRPr="00745BDC">
        <w:t xml:space="preserve">).  </w:t>
      </w:r>
      <w:r w:rsidR="00745BDC">
        <w:t>Την Τρίτη 16 Απριλίου δεν θα γίνει μάθημα.  Θα δοθούν οδηγίες ως προς τις εργασίες που θα αναλάβετε σε σχέση με τις εργασίες του συνεδρίου.</w:t>
      </w:r>
    </w:p>
    <w:p w:rsidR="00745BDC" w:rsidRPr="00745BDC" w:rsidRDefault="002950DD" w:rsidP="006916B1">
      <w:pPr>
        <w:pStyle w:val="ListParagraph"/>
        <w:widowControl w:val="0"/>
        <w:numPr>
          <w:ilvl w:val="0"/>
          <w:numId w:val="3"/>
        </w:numPr>
        <w:jc w:val="both"/>
      </w:pPr>
      <w:r>
        <w:t>Πιθανόν ο</w:t>
      </w:r>
      <w:r w:rsidR="00745BDC">
        <w:t xml:space="preserve">μιλία η εργαστήριο του σκηνοθέτη </w:t>
      </w:r>
      <w:r w:rsidR="00745BDC">
        <w:rPr>
          <w:lang w:val="en-US"/>
        </w:rPr>
        <w:t>Mat</w:t>
      </w:r>
      <w:r w:rsidR="00745BDC" w:rsidRPr="00745BDC">
        <w:t xml:space="preserve"> </w:t>
      </w:r>
      <w:r w:rsidR="00745BDC">
        <w:rPr>
          <w:lang w:val="en-US"/>
        </w:rPr>
        <w:t>Sweeney</w:t>
      </w:r>
      <w:r w:rsidR="00745BDC" w:rsidRPr="00745BDC">
        <w:t xml:space="preserve">, </w:t>
      </w:r>
      <w:r w:rsidR="00745BDC">
        <w:t xml:space="preserve">καλλιτεχνικού διευθυντή του θιάσου </w:t>
      </w:r>
      <w:r w:rsidR="00745BDC">
        <w:rPr>
          <w:lang w:val="en-US"/>
        </w:rPr>
        <w:t>Four</w:t>
      </w:r>
      <w:r w:rsidR="00745BDC" w:rsidRPr="00745BDC">
        <w:t xml:space="preserve"> </w:t>
      </w:r>
      <w:r w:rsidR="00745BDC">
        <w:rPr>
          <w:lang w:val="en-US"/>
        </w:rPr>
        <w:t>Larks</w:t>
      </w:r>
      <w:r w:rsidR="00745BDC" w:rsidRPr="00745BDC">
        <w:t xml:space="preserve"> </w:t>
      </w:r>
      <w:r w:rsidR="00745BDC">
        <w:t>στο Λος Άντζελες</w:t>
      </w:r>
    </w:p>
    <w:p w:rsidR="00745BDC" w:rsidRPr="00745BDC" w:rsidRDefault="00745BDC" w:rsidP="006916B1">
      <w:pPr>
        <w:pStyle w:val="ListParagraph"/>
        <w:widowControl w:val="0"/>
        <w:numPr>
          <w:ilvl w:val="0"/>
          <w:numId w:val="3"/>
        </w:numPr>
        <w:jc w:val="both"/>
      </w:pPr>
      <w:r>
        <w:t xml:space="preserve">Παρακολούθηση </w:t>
      </w:r>
      <w:r w:rsidR="002950DD">
        <w:t xml:space="preserve">της παράστασης </w:t>
      </w:r>
      <w:r w:rsidR="00656CE5">
        <w:t>«Τ</w:t>
      </w:r>
      <w:r w:rsidR="002950DD">
        <w:t>ο σπίτι της Μπερνάρντα Άλμπα</w:t>
      </w:r>
      <w:r w:rsidR="00656CE5">
        <w:t>»</w:t>
      </w:r>
      <w:r w:rsidR="002950DD">
        <w:t>, σε σκηνοθεσία Μαρίας Πρωτόπαππα, στο Θέατρο Τέχνης</w:t>
      </w:r>
      <w:r w:rsidR="00656CE5">
        <w:t xml:space="preserve"> (</w:t>
      </w:r>
      <w:r w:rsidR="0028259F" w:rsidRPr="0028259F">
        <w:t>21/4/24)</w:t>
      </w:r>
      <w:r w:rsidR="002950DD">
        <w:t>.</w:t>
      </w:r>
    </w:p>
    <w:p w:rsidR="007F4189" w:rsidRDefault="007F4189" w:rsidP="007F4189">
      <w:pPr>
        <w:widowControl w:val="0"/>
        <w:jc w:val="both"/>
      </w:pPr>
    </w:p>
    <w:p w:rsidR="007F4189" w:rsidRPr="000C6BD8" w:rsidRDefault="007F4189" w:rsidP="007F4189">
      <w:pPr>
        <w:widowControl w:val="0"/>
        <w:jc w:val="both"/>
      </w:pPr>
      <w:r>
        <w:t xml:space="preserve">Στο παραπάνω πρόγραμμα </w:t>
      </w:r>
      <w:r w:rsidR="002950DD">
        <w:t>ενδέχεται να υπάρξουν αναπροσαρμογές</w:t>
      </w:r>
      <w:r>
        <w:t xml:space="preserve"> </w:t>
      </w:r>
    </w:p>
    <w:p w:rsidR="007F4189" w:rsidRPr="000C6BD8" w:rsidRDefault="007F4189" w:rsidP="007F4189">
      <w:pPr>
        <w:pStyle w:val="ListParagraph"/>
        <w:widowControl w:val="0"/>
        <w:jc w:val="both"/>
      </w:pPr>
    </w:p>
    <w:p w:rsidR="007F4189" w:rsidRPr="000C6BD8" w:rsidRDefault="007F4189" w:rsidP="007F4189">
      <w:pPr>
        <w:pStyle w:val="ListParagraph"/>
        <w:widowControl w:val="0"/>
        <w:jc w:val="both"/>
      </w:pPr>
    </w:p>
    <w:p w:rsidR="007F4189" w:rsidRPr="002B1523" w:rsidRDefault="007F4189" w:rsidP="007F4189">
      <w:pPr>
        <w:pStyle w:val="ListParagraph"/>
        <w:widowControl w:val="0"/>
        <w:jc w:val="both"/>
      </w:pPr>
    </w:p>
    <w:p w:rsidR="007F4189" w:rsidRPr="002B1523" w:rsidRDefault="007F4189" w:rsidP="007F4189"/>
    <w:p w:rsidR="007F4189" w:rsidRPr="0028259F" w:rsidRDefault="007F4189" w:rsidP="007F4189">
      <w:pPr>
        <w:widowControl w:val="0"/>
        <w:jc w:val="both"/>
        <w:rPr>
          <w:lang w:val="en-US"/>
        </w:rPr>
      </w:pPr>
      <w:r w:rsidRPr="0028259F">
        <w:rPr>
          <w:b/>
        </w:rPr>
        <w:t>Προτεινόμενη</w:t>
      </w:r>
      <w:r w:rsidRPr="0028259F">
        <w:rPr>
          <w:b/>
          <w:lang w:val="en-US"/>
        </w:rPr>
        <w:t xml:space="preserve"> </w:t>
      </w:r>
      <w:r w:rsidRPr="0028259F">
        <w:rPr>
          <w:b/>
        </w:rPr>
        <w:t>Βιβλιογραφία</w:t>
      </w:r>
    </w:p>
    <w:p w:rsidR="007F4189" w:rsidRPr="0028259F" w:rsidRDefault="007F4189" w:rsidP="007F4189">
      <w:pPr>
        <w:widowControl w:val="0"/>
        <w:ind w:left="720" w:firstLine="720"/>
        <w:jc w:val="both"/>
        <w:rPr>
          <w:i/>
          <w:lang w:val="en-US"/>
        </w:rPr>
      </w:pPr>
    </w:p>
    <w:p w:rsidR="007F4189" w:rsidRPr="0028259F" w:rsidRDefault="007F4189" w:rsidP="007F4189">
      <w:pPr>
        <w:ind w:left="540" w:hanging="360"/>
        <w:rPr>
          <w:lang w:val="en-US"/>
        </w:rPr>
      </w:pPr>
      <w:r w:rsidRPr="0028259F">
        <w:rPr>
          <w:lang w:val="en-US"/>
        </w:rPr>
        <w:t xml:space="preserve">Aronson, A. (2000). </w:t>
      </w:r>
      <w:r w:rsidRPr="0028259F">
        <w:rPr>
          <w:i/>
          <w:lang w:val="en-US"/>
        </w:rPr>
        <w:t>American Avant-garde Theater: A History</w:t>
      </w:r>
      <w:r w:rsidRPr="0028259F">
        <w:rPr>
          <w:lang w:val="en-US"/>
        </w:rPr>
        <w:t>. London and New York: Routledge.</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rPr>
        <w:t xml:space="preserve"> </w:t>
      </w:r>
      <w:r w:rsidRPr="0028259F">
        <w:t xml:space="preserve">Βαροπούλου, Ε. (2002).  </w:t>
      </w:r>
      <w:r w:rsidRPr="0028259F">
        <w:rPr>
          <w:i/>
        </w:rPr>
        <w:t>Το ζωντανό θέατρο</w:t>
      </w:r>
      <w:r w:rsidRPr="0028259F">
        <w:t>.  Αθήνα</w:t>
      </w:r>
      <w:r w:rsidRPr="0028259F">
        <w:rPr>
          <w:lang w:val="en-GB"/>
        </w:rPr>
        <w:t>:</w:t>
      </w:r>
      <w:r w:rsidRPr="0028259F">
        <w:rPr>
          <w:lang w:val="en-US"/>
        </w:rPr>
        <w:t xml:space="preserve"> </w:t>
      </w:r>
      <w:r w:rsidRPr="0028259F">
        <w:t>Άγρα</w:t>
      </w:r>
      <w:r w:rsidRPr="0028259F">
        <w:rPr>
          <w:lang w:val="en-US"/>
        </w:rPr>
        <w:t>.</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Brook, P</w:t>
      </w:r>
      <w:r w:rsidRPr="0028259F">
        <w:rPr>
          <w:lang w:val="en-GB"/>
        </w:rPr>
        <w:t>.</w:t>
      </w:r>
      <w:r w:rsidRPr="0028259F">
        <w:rPr>
          <w:lang w:val="en-US"/>
        </w:rPr>
        <w:t xml:space="preserve"> (1968). </w:t>
      </w:r>
      <w:r w:rsidRPr="0028259F">
        <w:rPr>
          <w:i/>
          <w:lang w:val="en-US"/>
        </w:rPr>
        <w:t>The Empty Space</w:t>
      </w:r>
      <w:r w:rsidRPr="0028259F">
        <w:rPr>
          <w:lang w:val="en-US"/>
        </w:rPr>
        <w:t>. New York</w:t>
      </w:r>
      <w:r w:rsidRPr="0028259F">
        <w:rPr>
          <w:lang w:val="en-GB"/>
        </w:rPr>
        <w:t>:</w:t>
      </w:r>
      <w:r w:rsidRPr="0028259F">
        <w:rPr>
          <w:lang w:val="en-US"/>
        </w:rPr>
        <w:t xml:space="preserve"> Atheneum.</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Carlson, M. 1996). </w:t>
      </w:r>
      <w:r w:rsidRPr="0028259F">
        <w:rPr>
          <w:i/>
          <w:lang w:val="en-US"/>
        </w:rPr>
        <w:t>Performance: A Critical Introduction</w:t>
      </w:r>
      <w:r w:rsidRPr="0028259F">
        <w:rPr>
          <w:lang w:val="en-US"/>
        </w:rPr>
        <w:t>. London and New York</w:t>
      </w:r>
      <w:r w:rsidRPr="0028259F">
        <w:rPr>
          <w:lang w:val="en-GB"/>
        </w:rPr>
        <w:t xml:space="preserve">:      </w:t>
      </w:r>
      <w:r w:rsidRPr="0028259F">
        <w:rPr>
          <w:lang w:val="en-US"/>
        </w:rPr>
        <w:t>Routledge.</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Delgado, M. </w:t>
      </w:r>
      <w:r w:rsidRPr="0028259F">
        <w:rPr>
          <w:lang w:val="en-GB"/>
        </w:rPr>
        <w:t>&amp;</w:t>
      </w:r>
      <w:r w:rsidRPr="0028259F">
        <w:rPr>
          <w:lang w:val="en-US"/>
        </w:rPr>
        <w:t xml:space="preserve"> Heritage, P. (1996). </w:t>
      </w:r>
      <w:r w:rsidRPr="0028259F">
        <w:rPr>
          <w:i/>
          <w:lang w:val="en-US"/>
        </w:rPr>
        <w:t>In Contact with the Gods? Directors Talk</w:t>
      </w:r>
      <w:r w:rsidRPr="0028259F">
        <w:rPr>
          <w:i/>
          <w:lang w:val="en-GB"/>
        </w:rPr>
        <w:t xml:space="preserve"> </w:t>
      </w:r>
      <w:r w:rsidRPr="0028259F">
        <w:rPr>
          <w:i/>
          <w:lang w:val="en-US"/>
        </w:rPr>
        <w:t>Theater</w:t>
      </w:r>
      <w:r w:rsidRPr="0028259F">
        <w:rPr>
          <w:lang w:val="en-US"/>
        </w:rPr>
        <w:t>. Manchester and New York</w:t>
      </w:r>
      <w:r w:rsidRPr="0028259F">
        <w:rPr>
          <w:lang w:val="en-GB"/>
        </w:rPr>
        <w:t>:</w:t>
      </w:r>
      <w:r w:rsidRPr="0028259F">
        <w:rPr>
          <w:lang w:val="en-US"/>
        </w:rPr>
        <w:t xml:space="preserve"> Manchester University Press.</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US"/>
        </w:rPr>
        <w:t xml:space="preserve"> </w:t>
      </w:r>
      <w:r w:rsidRPr="0028259F">
        <w:rPr>
          <w:lang w:val="en-US"/>
        </w:rPr>
        <w:t xml:space="preserve">Hirst, D. (1993). </w:t>
      </w:r>
      <w:r w:rsidRPr="0028259F">
        <w:rPr>
          <w:i/>
          <w:lang w:val="en-US"/>
        </w:rPr>
        <w:t>Giorgio Strehler</w:t>
      </w:r>
      <w:r w:rsidRPr="0028259F">
        <w:rPr>
          <w:lang w:val="en-US"/>
        </w:rPr>
        <w:t>. Cambridge and New York</w:t>
      </w:r>
      <w:r w:rsidRPr="0028259F">
        <w:rPr>
          <w:lang w:val="en-GB"/>
        </w:rPr>
        <w:t>:</w:t>
      </w:r>
      <w:r w:rsidRPr="0028259F">
        <w:rPr>
          <w:lang w:val="en-US"/>
        </w:rPr>
        <w:t xml:space="preserve"> Cambridge University</w:t>
      </w:r>
      <w:r w:rsidRPr="0028259F">
        <w:rPr>
          <w:lang w:val="en-GB"/>
        </w:rPr>
        <w:t xml:space="preserve">      </w:t>
      </w:r>
      <w:r w:rsidRPr="0028259F">
        <w:rPr>
          <w:lang w:val="en-US"/>
        </w:rPr>
        <w:t xml:space="preserve">Press.  </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Kiernander, A. (1993)</w:t>
      </w:r>
      <w:r w:rsidRPr="0028259F">
        <w:rPr>
          <w:lang w:val="en-GB"/>
        </w:rPr>
        <w:t>.</w:t>
      </w:r>
      <w:r w:rsidRPr="0028259F">
        <w:rPr>
          <w:lang w:val="en-US"/>
        </w:rPr>
        <w:t xml:space="preserve"> </w:t>
      </w:r>
      <w:r w:rsidRPr="0028259F">
        <w:rPr>
          <w:i/>
          <w:lang w:val="en-US"/>
        </w:rPr>
        <w:t>Ariane Mnouchkine and the Theatre du Soleil</w:t>
      </w:r>
      <w:r w:rsidRPr="0028259F">
        <w:rPr>
          <w:lang w:val="en-US"/>
        </w:rPr>
        <w:t>.  Cambridge and</w:t>
      </w:r>
      <w:r w:rsidRPr="0028259F">
        <w:rPr>
          <w:lang w:val="en-GB"/>
        </w:rPr>
        <w:t xml:space="preserve">      </w:t>
      </w:r>
      <w:r w:rsidRPr="0028259F">
        <w:rPr>
          <w:lang w:val="en-US"/>
        </w:rPr>
        <w:t>New York</w:t>
      </w:r>
      <w:r w:rsidRPr="0028259F">
        <w:rPr>
          <w:lang w:val="en-GB"/>
        </w:rPr>
        <w:t>:</w:t>
      </w:r>
      <w:r w:rsidRPr="0028259F">
        <w:rPr>
          <w:lang w:val="en-US"/>
        </w:rPr>
        <w:t xml:space="preserve"> Cambridge University Press.  </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Kotzamani, M. (2009). </w:t>
      </w:r>
      <w:r w:rsidRPr="0028259F">
        <w:rPr>
          <w:i/>
          <w:lang w:val="en-US"/>
        </w:rPr>
        <w:t>Athens Ancient and Modern</w:t>
      </w:r>
      <w:r w:rsidRPr="0028259F">
        <w:rPr>
          <w:lang w:val="en-US"/>
        </w:rPr>
        <w:t>.  Special Issue on the Contemporary Arts in Athens.  PAJ 92, 2.</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US"/>
        </w:rPr>
        <w:t xml:space="preserve"> </w:t>
      </w:r>
      <w:r w:rsidRPr="0028259F">
        <w:rPr>
          <w:lang w:val="en-US"/>
        </w:rPr>
        <w:t xml:space="preserve">Lehmann, H. T. (2006). </w:t>
      </w:r>
      <w:r w:rsidRPr="0028259F">
        <w:rPr>
          <w:i/>
          <w:lang w:val="en-US"/>
        </w:rPr>
        <w:t>Postdramatic Theater</w:t>
      </w:r>
      <w:r w:rsidRPr="0028259F">
        <w:rPr>
          <w:lang w:val="en-US"/>
        </w:rPr>
        <w:t>. London and New York</w:t>
      </w:r>
      <w:r w:rsidRPr="0028259F">
        <w:rPr>
          <w:lang w:val="en-GB"/>
        </w:rPr>
        <w:t>:</w:t>
      </w:r>
      <w:r w:rsidRPr="0028259F">
        <w:rPr>
          <w:lang w:val="en-US"/>
        </w:rPr>
        <w:t xml:space="preserve"> Routledge.</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US"/>
        </w:rPr>
        <w:t xml:space="preserve"> </w:t>
      </w:r>
      <w:r w:rsidRPr="0028259F">
        <w:rPr>
          <w:lang w:val="en-US"/>
        </w:rPr>
        <w:t xml:space="preserve">Marranca. B. (1977). </w:t>
      </w:r>
      <w:r w:rsidRPr="0028259F">
        <w:rPr>
          <w:i/>
          <w:lang w:val="en-US"/>
        </w:rPr>
        <w:t>The Theater of Images</w:t>
      </w:r>
      <w:r w:rsidRPr="0028259F">
        <w:rPr>
          <w:lang w:val="en-US"/>
        </w:rPr>
        <w:t>. Baltimore and London</w:t>
      </w:r>
      <w:r w:rsidRPr="0028259F">
        <w:rPr>
          <w:lang w:val="en-GB"/>
        </w:rPr>
        <w:t>:</w:t>
      </w:r>
      <w:r w:rsidRPr="0028259F">
        <w:rPr>
          <w:lang w:val="en-US"/>
        </w:rPr>
        <w:t xml:space="preserve"> Johns Hopkins</w:t>
      </w:r>
      <w:r w:rsidRPr="0028259F">
        <w:rPr>
          <w:lang w:val="en-GB"/>
        </w:rPr>
        <w:t xml:space="preserve">      </w:t>
      </w:r>
      <w:r w:rsidRPr="0028259F">
        <w:rPr>
          <w:lang w:val="en-US"/>
        </w:rPr>
        <w:t>University Press.</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lang w:val="en-GB"/>
        </w:rPr>
        <w:t xml:space="preserve"> </w:t>
      </w:r>
      <w:r w:rsidRPr="0028259F">
        <w:rPr>
          <w:lang w:val="en-US"/>
        </w:rPr>
        <w:t xml:space="preserve">Mitter, Sh. </w:t>
      </w:r>
      <w:r w:rsidRPr="0028259F">
        <w:rPr>
          <w:lang w:val="en-GB"/>
        </w:rPr>
        <w:t>&amp;</w:t>
      </w:r>
      <w:r w:rsidRPr="0028259F">
        <w:rPr>
          <w:lang w:val="en-US"/>
        </w:rPr>
        <w:t xml:space="preserve"> Shevtsova</w:t>
      </w:r>
      <w:r w:rsidRPr="0028259F">
        <w:rPr>
          <w:lang w:val="en-GB"/>
        </w:rPr>
        <w:t>,</w:t>
      </w:r>
      <w:r w:rsidRPr="0028259F">
        <w:rPr>
          <w:lang w:val="en-US"/>
        </w:rPr>
        <w:t xml:space="preserve"> M. (2005). </w:t>
      </w:r>
      <w:r w:rsidRPr="0028259F">
        <w:rPr>
          <w:i/>
          <w:lang w:val="en-US"/>
        </w:rPr>
        <w:t>Fifty Key Theatre Directors</w:t>
      </w:r>
      <w:r w:rsidRPr="0028259F">
        <w:rPr>
          <w:lang w:val="en-US"/>
        </w:rPr>
        <w:t>. London and New York: Routledge.</w:t>
      </w:r>
    </w:p>
    <w:p w:rsidR="007F4189" w:rsidRPr="0028259F" w:rsidRDefault="007F4189" w:rsidP="007F4189">
      <w:pPr>
        <w:ind w:left="540" w:hanging="360"/>
      </w:pPr>
      <w:r w:rsidRPr="0028259F">
        <w:rPr>
          <w:rFonts w:eastAsia="Arial Unicode MS"/>
        </w:rPr>
        <w:sym w:font="Wingdings" w:char="F026"/>
      </w:r>
      <w:r w:rsidRPr="0028259F">
        <w:rPr>
          <w:rFonts w:eastAsia="Arial Unicode MS"/>
        </w:rPr>
        <w:t xml:space="preserve"> </w:t>
      </w:r>
      <w:r w:rsidRPr="0028259F">
        <w:t xml:space="preserve">Πατσαλίδης, Σ. (2012). </w:t>
      </w:r>
      <w:r w:rsidRPr="0028259F">
        <w:rPr>
          <w:i/>
        </w:rPr>
        <w:t>Θέατρο και Παγκοσμιοποίηση</w:t>
      </w:r>
      <w:r w:rsidRPr="0028259F">
        <w:t xml:space="preserve">. Αθήνα: Παπαζήσης. </w:t>
      </w:r>
    </w:p>
    <w:p w:rsidR="007F4189" w:rsidRPr="0028259F" w:rsidRDefault="007F4189" w:rsidP="007F4189">
      <w:pPr>
        <w:ind w:left="540" w:hanging="360"/>
      </w:pPr>
      <w:r w:rsidRPr="0028259F">
        <w:rPr>
          <w:rFonts w:eastAsia="Arial Unicode MS"/>
        </w:rPr>
        <w:sym w:font="Wingdings" w:char="F026"/>
      </w:r>
      <w:r w:rsidRPr="0028259F">
        <w:rPr>
          <w:rFonts w:eastAsia="Arial Unicode MS"/>
        </w:rPr>
        <w:t xml:space="preserve"> </w:t>
      </w:r>
      <w:r w:rsidRPr="0028259F">
        <w:t xml:space="preserve">Πατσαλίδης, Σ. (2004). </w:t>
      </w:r>
      <w:r w:rsidRPr="0028259F">
        <w:rPr>
          <w:i/>
        </w:rPr>
        <w:t>Από την αναπαράσταση στην παράσταση</w:t>
      </w:r>
      <w:r w:rsidRPr="0028259F">
        <w:t xml:space="preserve">.  Αθήνα: Ελληνικά </w:t>
      </w:r>
    </w:p>
    <w:p w:rsidR="007F4189" w:rsidRPr="0028259F" w:rsidRDefault="007F4189" w:rsidP="007F4189">
      <w:pPr>
        <w:ind w:left="540" w:hanging="360"/>
      </w:pPr>
      <w:r w:rsidRPr="0028259F">
        <w:t xml:space="preserve">      Γράμματα.</w:t>
      </w:r>
    </w:p>
    <w:p w:rsidR="007F4189" w:rsidRPr="0028259F" w:rsidRDefault="007F4189" w:rsidP="007F4189">
      <w:pPr>
        <w:ind w:left="540" w:hanging="360"/>
        <w:rPr>
          <w:lang w:val="en-US"/>
        </w:rPr>
      </w:pPr>
      <w:r w:rsidRPr="0028259F">
        <w:rPr>
          <w:rFonts w:eastAsia="Arial Unicode MS"/>
        </w:rPr>
        <w:sym w:font="Wingdings" w:char="F026"/>
      </w:r>
      <w:r w:rsidRPr="0028259F">
        <w:rPr>
          <w:rFonts w:eastAsia="Arial Unicode MS"/>
        </w:rPr>
        <w:t xml:space="preserve"> </w:t>
      </w:r>
      <w:r w:rsidRPr="0028259F">
        <w:t xml:space="preserve">Shevtsova, M. (2007). </w:t>
      </w:r>
      <w:r w:rsidRPr="0028259F">
        <w:rPr>
          <w:i/>
          <w:lang w:val="en-US"/>
        </w:rPr>
        <w:t>Robert Wilson</w:t>
      </w:r>
      <w:r w:rsidRPr="0028259F">
        <w:rPr>
          <w:lang w:val="en-US"/>
        </w:rPr>
        <w:t>. London and New York</w:t>
      </w:r>
      <w:r w:rsidRPr="0028259F">
        <w:rPr>
          <w:lang w:val="en-GB"/>
        </w:rPr>
        <w:t>:</w:t>
      </w:r>
      <w:r w:rsidRPr="0028259F">
        <w:rPr>
          <w:lang w:val="en-US"/>
        </w:rPr>
        <w:t xml:space="preserve"> Routledge.</w:t>
      </w:r>
    </w:p>
    <w:p w:rsidR="007F4189" w:rsidRPr="0028259F" w:rsidRDefault="007F4189" w:rsidP="007F4189">
      <w:pPr>
        <w:ind w:left="538" w:hanging="357"/>
      </w:pPr>
      <w:r w:rsidRPr="0028259F">
        <w:rPr>
          <w:rFonts w:eastAsia="Arial Unicode MS"/>
        </w:rPr>
        <w:sym w:font="Wingdings" w:char="F026"/>
      </w:r>
      <w:r w:rsidRPr="0028259F">
        <w:rPr>
          <w:rFonts w:eastAsia="Arial Unicode MS"/>
        </w:rPr>
        <w:t xml:space="preserve"> </w:t>
      </w:r>
      <w:r w:rsidRPr="0028259F">
        <w:t xml:space="preserve">Τσατσούλης, Δ. (2011). </w:t>
      </w:r>
      <w:r w:rsidRPr="0028259F">
        <w:rPr>
          <w:i/>
        </w:rPr>
        <w:t>Διάλογος Εικόνων</w:t>
      </w:r>
      <w:r w:rsidRPr="0028259F">
        <w:t xml:space="preserve">. Αθήνα: Παπαζήσης.  </w:t>
      </w:r>
    </w:p>
    <w:p w:rsidR="007F4189" w:rsidRPr="0028259F" w:rsidRDefault="007F4189" w:rsidP="007F4189">
      <w:pPr>
        <w:ind w:left="540" w:right="567" w:hanging="360"/>
        <w:rPr>
          <w:b/>
        </w:rPr>
      </w:pPr>
    </w:p>
    <w:p w:rsidR="007F4189" w:rsidRPr="00CA5465" w:rsidRDefault="007F4189" w:rsidP="007F4189">
      <w:pPr>
        <w:widowControl w:val="0"/>
        <w:ind w:left="720" w:firstLine="720"/>
        <w:jc w:val="both"/>
      </w:pPr>
    </w:p>
    <w:p w:rsidR="007F4189" w:rsidRPr="004173C9" w:rsidRDefault="007F4189" w:rsidP="007F4189">
      <w:pPr>
        <w:widowControl w:val="0"/>
        <w:jc w:val="both"/>
        <w:rPr>
          <w:lang w:val="fr-FR"/>
        </w:rPr>
      </w:pPr>
    </w:p>
    <w:p w:rsidR="007F4189" w:rsidRPr="004173C9" w:rsidRDefault="007F4189" w:rsidP="007F4189">
      <w:pPr>
        <w:widowControl w:val="0"/>
        <w:jc w:val="both"/>
        <w:rPr>
          <w:lang w:val="fr-FR"/>
        </w:rPr>
      </w:pPr>
    </w:p>
    <w:p w:rsidR="007F4189" w:rsidRPr="004173C9" w:rsidRDefault="007F4189" w:rsidP="007F4189">
      <w:pPr>
        <w:jc w:val="both"/>
        <w:rPr>
          <w:lang w:val="fr-FR"/>
        </w:rPr>
      </w:pPr>
    </w:p>
    <w:p w:rsidR="007F4189" w:rsidRPr="004173C9" w:rsidRDefault="007F4189" w:rsidP="007F4189">
      <w:pPr>
        <w:jc w:val="both"/>
        <w:rPr>
          <w:b/>
          <w:lang w:val="fr-FR"/>
        </w:rPr>
      </w:pPr>
      <w:r w:rsidRPr="004173C9">
        <w:rPr>
          <w:b/>
          <w:lang w:val="fr-FR"/>
        </w:rPr>
        <w:br w:type="page"/>
      </w:r>
    </w:p>
    <w:p w:rsidR="007F4189" w:rsidRPr="00643A86" w:rsidRDefault="007F4189" w:rsidP="007F4189">
      <w:pPr>
        <w:rPr>
          <w:lang w:val="fr-FR"/>
        </w:rPr>
      </w:pPr>
    </w:p>
    <w:p w:rsidR="007F4189" w:rsidRPr="00643A86" w:rsidRDefault="007F4189" w:rsidP="007F4189">
      <w:pPr>
        <w:rPr>
          <w:lang w:val="fr-FR"/>
        </w:rPr>
      </w:pPr>
    </w:p>
    <w:p w:rsidR="007F4189" w:rsidRPr="00CA5465" w:rsidRDefault="007F4189" w:rsidP="007F4189">
      <w:pPr>
        <w:rPr>
          <w:lang w:val="fr-FR"/>
        </w:rPr>
      </w:pPr>
    </w:p>
    <w:p w:rsidR="007F4189" w:rsidRPr="00E81931" w:rsidRDefault="007F4189" w:rsidP="007F4189">
      <w:pPr>
        <w:rPr>
          <w:lang w:val="fr-FR"/>
        </w:rPr>
      </w:pPr>
    </w:p>
    <w:p w:rsidR="007F4189" w:rsidRPr="00A84E0D" w:rsidRDefault="007F4189" w:rsidP="007F4189">
      <w:pPr>
        <w:rPr>
          <w:lang w:val="fr-FR"/>
        </w:rPr>
      </w:pPr>
    </w:p>
    <w:p w:rsidR="007F4189" w:rsidRPr="004322B0" w:rsidRDefault="007F4189" w:rsidP="007F4189">
      <w:pPr>
        <w:rPr>
          <w:lang w:val="fr-FR"/>
        </w:rPr>
      </w:pPr>
    </w:p>
    <w:p w:rsidR="007F4189" w:rsidRPr="00F7284D" w:rsidRDefault="007F4189" w:rsidP="007F4189">
      <w:pPr>
        <w:rPr>
          <w:lang w:val="fr-FR"/>
        </w:rPr>
      </w:pPr>
    </w:p>
    <w:p w:rsidR="007F4189" w:rsidRPr="00BE047D" w:rsidRDefault="007F4189" w:rsidP="007F4189">
      <w:pPr>
        <w:rPr>
          <w:lang w:val="fr-FR"/>
        </w:rPr>
      </w:pPr>
    </w:p>
    <w:p w:rsidR="007F4189" w:rsidRPr="008254BC" w:rsidRDefault="007F4189" w:rsidP="007F4189">
      <w:pPr>
        <w:rPr>
          <w:lang w:val="fr-FR"/>
        </w:rPr>
      </w:pPr>
    </w:p>
    <w:p w:rsidR="007F4189" w:rsidRPr="000C6BD8" w:rsidRDefault="007F4189" w:rsidP="007F4189">
      <w:pPr>
        <w:rPr>
          <w:lang w:val="fr-FR"/>
        </w:rPr>
      </w:pPr>
    </w:p>
    <w:p w:rsidR="0044332D" w:rsidRPr="007F4189" w:rsidRDefault="0044332D">
      <w:pPr>
        <w:rPr>
          <w:lang w:val="fr-FR"/>
        </w:rPr>
      </w:pPr>
    </w:p>
    <w:sectPr w:rsidR="0044332D" w:rsidRPr="007F4189" w:rsidSect="006A76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09" w:rsidRDefault="00DE0E09" w:rsidP="007F4189">
      <w:r>
        <w:separator/>
      </w:r>
    </w:p>
  </w:endnote>
  <w:endnote w:type="continuationSeparator" w:id="1">
    <w:p w:rsidR="00DE0E09" w:rsidRDefault="00DE0E09" w:rsidP="007F4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09" w:rsidRDefault="00DE0E09" w:rsidP="007F4189">
      <w:r>
        <w:separator/>
      </w:r>
    </w:p>
  </w:footnote>
  <w:footnote w:type="continuationSeparator" w:id="1">
    <w:p w:rsidR="00DE0E09" w:rsidRDefault="00DE0E09" w:rsidP="007F4189">
      <w:r>
        <w:continuationSeparator/>
      </w:r>
    </w:p>
  </w:footnote>
  <w:footnote w:id="2">
    <w:p w:rsidR="007F4189" w:rsidRDefault="007F4189" w:rsidP="007F4189">
      <w:pPr>
        <w:pStyle w:val="FootnoteText"/>
      </w:pPr>
      <w:r>
        <w:rPr>
          <w:rStyle w:val="FootnoteReference"/>
        </w:rPr>
        <w:footnoteRef/>
      </w:r>
      <w:r>
        <w:t xml:space="preserve">  Ενδέχεται να υπάρξουν μικρές αλλαγές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60F2"/>
    <w:multiLevelType w:val="hybridMultilevel"/>
    <w:tmpl w:val="89A62B6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4F40D6"/>
    <w:multiLevelType w:val="hybridMultilevel"/>
    <w:tmpl w:val="93967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77E755E"/>
    <w:multiLevelType w:val="hybridMultilevel"/>
    <w:tmpl w:val="7360C3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2124194"/>
    <w:multiLevelType w:val="hybridMultilevel"/>
    <w:tmpl w:val="C1100368"/>
    <w:lvl w:ilvl="0" w:tplc="E3A238F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4189"/>
    <w:rsid w:val="001267B2"/>
    <w:rsid w:val="00186AF1"/>
    <w:rsid w:val="001C27A0"/>
    <w:rsid w:val="001F7432"/>
    <w:rsid w:val="0028259F"/>
    <w:rsid w:val="002950DD"/>
    <w:rsid w:val="002C686D"/>
    <w:rsid w:val="00326C5E"/>
    <w:rsid w:val="0034431D"/>
    <w:rsid w:val="0044332D"/>
    <w:rsid w:val="004A50C3"/>
    <w:rsid w:val="004B04C7"/>
    <w:rsid w:val="00502B68"/>
    <w:rsid w:val="00506D44"/>
    <w:rsid w:val="005F7FEA"/>
    <w:rsid w:val="00624417"/>
    <w:rsid w:val="00656CE5"/>
    <w:rsid w:val="006916B1"/>
    <w:rsid w:val="006A3C72"/>
    <w:rsid w:val="006C7A83"/>
    <w:rsid w:val="00745BDC"/>
    <w:rsid w:val="007F4189"/>
    <w:rsid w:val="008200C8"/>
    <w:rsid w:val="0082600F"/>
    <w:rsid w:val="00846035"/>
    <w:rsid w:val="00925C8C"/>
    <w:rsid w:val="009D2C00"/>
    <w:rsid w:val="00B12038"/>
    <w:rsid w:val="00B537A1"/>
    <w:rsid w:val="00C82F99"/>
    <w:rsid w:val="00DE0E09"/>
    <w:rsid w:val="00E503CA"/>
    <w:rsid w:val="00EB7B4C"/>
    <w:rsid w:val="00F624A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89"/>
    <w:pPr>
      <w:spacing w:line="240" w:lineRule="auto"/>
    </w:pPr>
    <w:rPr>
      <w:rFonts w:eastAsia="Times New Roman" w:cs="Times New Roman"/>
      <w:sz w:val="24"/>
      <w:szCs w:val="24"/>
      <w:lang w:val="el-GR" w:eastAsia="el-GR"/>
    </w:rPr>
  </w:style>
  <w:style w:type="paragraph" w:styleId="Heading1">
    <w:name w:val="heading 1"/>
    <w:basedOn w:val="Normal"/>
    <w:next w:val="Normal"/>
    <w:link w:val="Heading1Char"/>
    <w:qFormat/>
    <w:rsid w:val="007F4189"/>
    <w:pPr>
      <w:keepNext/>
      <w:jc w:val="both"/>
      <w:outlineLvl w:val="0"/>
    </w:pPr>
    <w:rPr>
      <w:rFonts w:ascii="Olympus" w:eastAsia="Athens" w:hAnsi="Olympu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189"/>
    <w:rPr>
      <w:rFonts w:ascii="Olympus" w:eastAsia="Athens" w:hAnsi="Olympus" w:cs="Times New Roman"/>
      <w:sz w:val="24"/>
      <w:szCs w:val="20"/>
      <w:u w:val="single"/>
      <w:lang w:val="el-GR" w:eastAsia="el-GR"/>
    </w:rPr>
  </w:style>
  <w:style w:type="paragraph" w:styleId="FootnoteText">
    <w:name w:val="footnote text"/>
    <w:basedOn w:val="Normal"/>
    <w:link w:val="FootnoteTextChar"/>
    <w:semiHidden/>
    <w:rsid w:val="007F4189"/>
    <w:rPr>
      <w:sz w:val="20"/>
      <w:szCs w:val="20"/>
    </w:rPr>
  </w:style>
  <w:style w:type="character" w:customStyle="1" w:styleId="FootnoteTextChar">
    <w:name w:val="Footnote Text Char"/>
    <w:basedOn w:val="DefaultParagraphFont"/>
    <w:link w:val="FootnoteText"/>
    <w:semiHidden/>
    <w:rsid w:val="007F4189"/>
    <w:rPr>
      <w:rFonts w:eastAsia="Times New Roman" w:cs="Times New Roman"/>
      <w:sz w:val="20"/>
      <w:szCs w:val="20"/>
      <w:lang w:val="el-GR" w:eastAsia="el-GR"/>
    </w:rPr>
  </w:style>
  <w:style w:type="character" w:styleId="FootnoteReference">
    <w:name w:val="footnote reference"/>
    <w:basedOn w:val="DefaultParagraphFont"/>
    <w:semiHidden/>
    <w:rsid w:val="007F4189"/>
    <w:rPr>
      <w:vertAlign w:val="superscript"/>
    </w:rPr>
  </w:style>
  <w:style w:type="paragraph" w:styleId="ListParagraph">
    <w:name w:val="List Paragraph"/>
    <w:basedOn w:val="Normal"/>
    <w:uiPriority w:val="34"/>
    <w:qFormat/>
    <w:rsid w:val="007F4189"/>
    <w:pPr>
      <w:ind w:left="720"/>
      <w:contextualSpacing/>
    </w:pPr>
  </w:style>
  <w:style w:type="character" w:styleId="Hyperlink">
    <w:name w:val="Hyperlink"/>
    <w:basedOn w:val="DefaultParagraphFont"/>
    <w:uiPriority w:val="99"/>
    <w:unhideWhenUsed/>
    <w:rsid w:val="007F418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1051421">
      <w:bodyDiv w:val="1"/>
      <w:marLeft w:val="0"/>
      <w:marRight w:val="0"/>
      <w:marTop w:val="0"/>
      <w:marBottom w:val="0"/>
      <w:divBdr>
        <w:top w:val="none" w:sz="0" w:space="0" w:color="auto"/>
        <w:left w:val="none" w:sz="0" w:space="0" w:color="auto"/>
        <w:bottom w:val="none" w:sz="0" w:space="0" w:color="auto"/>
        <w:right w:val="none" w:sz="0" w:space="0" w:color="auto"/>
      </w:divBdr>
      <w:divsChild>
        <w:div w:id="1604457772">
          <w:marLeft w:val="0"/>
          <w:marRight w:val="0"/>
          <w:marTop w:val="0"/>
          <w:marBottom w:val="0"/>
          <w:divBdr>
            <w:top w:val="none" w:sz="0" w:space="0" w:color="auto"/>
            <w:left w:val="none" w:sz="0" w:space="0" w:color="auto"/>
            <w:bottom w:val="none" w:sz="0" w:space="0" w:color="auto"/>
            <w:right w:val="none" w:sz="0" w:space="0" w:color="auto"/>
          </w:divBdr>
        </w:div>
        <w:div w:id="1356154541">
          <w:marLeft w:val="0"/>
          <w:marRight w:val="0"/>
          <w:marTop w:val="0"/>
          <w:marBottom w:val="0"/>
          <w:divBdr>
            <w:top w:val="none" w:sz="0" w:space="0" w:color="auto"/>
            <w:left w:val="none" w:sz="0" w:space="0" w:color="auto"/>
            <w:bottom w:val="none" w:sz="0" w:space="0" w:color="auto"/>
            <w:right w:val="none" w:sz="0" w:space="0" w:color="auto"/>
          </w:divBdr>
        </w:div>
        <w:div w:id="157693501">
          <w:marLeft w:val="0"/>
          <w:marRight w:val="0"/>
          <w:marTop w:val="0"/>
          <w:marBottom w:val="0"/>
          <w:divBdr>
            <w:top w:val="none" w:sz="0" w:space="0" w:color="auto"/>
            <w:left w:val="none" w:sz="0" w:space="0" w:color="auto"/>
            <w:bottom w:val="none" w:sz="0" w:space="0" w:color="auto"/>
            <w:right w:val="none" w:sz="0" w:space="0" w:color="auto"/>
          </w:divBdr>
        </w:div>
        <w:div w:id="1791166716">
          <w:marLeft w:val="0"/>
          <w:marRight w:val="0"/>
          <w:marTop w:val="0"/>
          <w:marBottom w:val="0"/>
          <w:divBdr>
            <w:top w:val="none" w:sz="0" w:space="0" w:color="auto"/>
            <w:left w:val="none" w:sz="0" w:space="0" w:color="auto"/>
            <w:bottom w:val="none" w:sz="0" w:space="0" w:color="auto"/>
            <w:right w:val="none" w:sz="0" w:space="0" w:color="auto"/>
          </w:divBdr>
        </w:div>
        <w:div w:id="596450149">
          <w:marLeft w:val="0"/>
          <w:marRight w:val="0"/>
          <w:marTop w:val="0"/>
          <w:marBottom w:val="0"/>
          <w:divBdr>
            <w:top w:val="none" w:sz="0" w:space="0" w:color="auto"/>
            <w:left w:val="none" w:sz="0" w:space="0" w:color="auto"/>
            <w:bottom w:val="none" w:sz="0" w:space="0" w:color="auto"/>
            <w:right w:val="none" w:sz="0" w:space="0" w:color="auto"/>
          </w:divBdr>
        </w:div>
        <w:div w:id="1999382521">
          <w:marLeft w:val="0"/>
          <w:marRight w:val="0"/>
          <w:marTop w:val="0"/>
          <w:marBottom w:val="0"/>
          <w:divBdr>
            <w:top w:val="none" w:sz="0" w:space="0" w:color="auto"/>
            <w:left w:val="none" w:sz="0" w:space="0" w:color="auto"/>
            <w:bottom w:val="none" w:sz="0" w:space="0" w:color="auto"/>
            <w:right w:val="none" w:sz="0" w:space="0" w:color="auto"/>
          </w:divBdr>
        </w:div>
        <w:div w:id="186065174">
          <w:marLeft w:val="0"/>
          <w:marRight w:val="0"/>
          <w:marTop w:val="0"/>
          <w:marBottom w:val="0"/>
          <w:divBdr>
            <w:top w:val="none" w:sz="0" w:space="0" w:color="auto"/>
            <w:left w:val="none" w:sz="0" w:space="0" w:color="auto"/>
            <w:bottom w:val="none" w:sz="0" w:space="0" w:color="auto"/>
            <w:right w:val="none" w:sz="0" w:space="0" w:color="auto"/>
          </w:divBdr>
        </w:div>
        <w:div w:id="1206596563">
          <w:marLeft w:val="0"/>
          <w:marRight w:val="0"/>
          <w:marTop w:val="0"/>
          <w:marBottom w:val="0"/>
          <w:divBdr>
            <w:top w:val="none" w:sz="0" w:space="0" w:color="auto"/>
            <w:left w:val="none" w:sz="0" w:space="0" w:color="auto"/>
            <w:bottom w:val="none" w:sz="0" w:space="0" w:color="auto"/>
            <w:right w:val="none" w:sz="0" w:space="0" w:color="auto"/>
          </w:divBdr>
        </w:div>
        <w:div w:id="1099178318">
          <w:marLeft w:val="0"/>
          <w:marRight w:val="0"/>
          <w:marTop w:val="0"/>
          <w:marBottom w:val="0"/>
          <w:divBdr>
            <w:top w:val="none" w:sz="0" w:space="0" w:color="auto"/>
            <w:left w:val="none" w:sz="0" w:space="0" w:color="auto"/>
            <w:bottom w:val="none" w:sz="0" w:space="0" w:color="auto"/>
            <w:right w:val="none" w:sz="0" w:space="0" w:color="auto"/>
          </w:divBdr>
        </w:div>
        <w:div w:id="1283685576">
          <w:marLeft w:val="0"/>
          <w:marRight w:val="0"/>
          <w:marTop w:val="0"/>
          <w:marBottom w:val="0"/>
          <w:divBdr>
            <w:top w:val="none" w:sz="0" w:space="0" w:color="auto"/>
            <w:left w:val="none" w:sz="0" w:space="0" w:color="auto"/>
            <w:bottom w:val="none" w:sz="0" w:space="0" w:color="auto"/>
            <w:right w:val="none" w:sz="0" w:space="0" w:color="auto"/>
          </w:divBdr>
        </w:div>
        <w:div w:id="587157352">
          <w:marLeft w:val="0"/>
          <w:marRight w:val="0"/>
          <w:marTop w:val="0"/>
          <w:marBottom w:val="0"/>
          <w:divBdr>
            <w:top w:val="none" w:sz="0" w:space="0" w:color="auto"/>
            <w:left w:val="none" w:sz="0" w:space="0" w:color="auto"/>
            <w:bottom w:val="none" w:sz="0" w:space="0" w:color="auto"/>
            <w:right w:val="none" w:sz="0" w:space="0" w:color="auto"/>
          </w:divBdr>
        </w:div>
        <w:div w:id="1815179628">
          <w:marLeft w:val="0"/>
          <w:marRight w:val="0"/>
          <w:marTop w:val="0"/>
          <w:marBottom w:val="0"/>
          <w:divBdr>
            <w:top w:val="none" w:sz="0" w:space="0" w:color="auto"/>
            <w:left w:val="none" w:sz="0" w:space="0" w:color="auto"/>
            <w:bottom w:val="none" w:sz="0" w:space="0" w:color="auto"/>
            <w:right w:val="none" w:sz="0" w:space="0" w:color="auto"/>
          </w:divBdr>
        </w:div>
        <w:div w:id="1858762933">
          <w:marLeft w:val="0"/>
          <w:marRight w:val="0"/>
          <w:marTop w:val="0"/>
          <w:marBottom w:val="0"/>
          <w:divBdr>
            <w:top w:val="none" w:sz="0" w:space="0" w:color="auto"/>
            <w:left w:val="none" w:sz="0" w:space="0" w:color="auto"/>
            <w:bottom w:val="none" w:sz="0" w:space="0" w:color="auto"/>
            <w:right w:val="none" w:sz="0" w:space="0" w:color="auto"/>
          </w:divBdr>
        </w:div>
        <w:div w:id="1393893371">
          <w:marLeft w:val="0"/>
          <w:marRight w:val="0"/>
          <w:marTop w:val="0"/>
          <w:marBottom w:val="0"/>
          <w:divBdr>
            <w:top w:val="none" w:sz="0" w:space="0" w:color="auto"/>
            <w:left w:val="none" w:sz="0" w:space="0" w:color="auto"/>
            <w:bottom w:val="none" w:sz="0" w:space="0" w:color="auto"/>
            <w:right w:val="none" w:sz="0" w:space="0" w:color="auto"/>
          </w:divBdr>
        </w:div>
        <w:div w:id="192880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ertwils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VxDBojxnKA&amp;t=2725s" TargetMode="External"/><Relationship Id="rId12" Type="http://schemas.openxmlformats.org/officeDocument/2006/relationships/hyperlink" Target="https://thevolaxproject.com/ensomati-empei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natzakou-geopoetics.com/portfolio-item/the-geopoetics-project/" TargetMode="External"/><Relationship Id="rId5" Type="http://schemas.openxmlformats.org/officeDocument/2006/relationships/footnotes" Target="footnotes.xml"/><Relationship Id="rId10" Type="http://schemas.openxmlformats.org/officeDocument/2006/relationships/hyperlink" Target="https://annatzakou-geopoetics.com/portfolio-item/rea-frantzi-exodus/" TargetMode="External"/><Relationship Id="rId4" Type="http://schemas.openxmlformats.org/officeDocument/2006/relationships/webSettings" Target="webSettings.xml"/><Relationship Id="rId9" Type="http://schemas.openxmlformats.org/officeDocument/2006/relationships/hyperlink" Target="https://annatzakou-geopoetics.com/portfolio-item/performance-anaparasta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1389</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2024-03-12T10:50:00Z</dcterms:created>
  <dcterms:modified xsi:type="dcterms:W3CDTF">2024-04-08T20:07:00Z</dcterms:modified>
</cp:coreProperties>
</file>