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Άσκηση 1.</w:t>
      </w:r>
    </w:p>
    <w:p>
      <w:pPr>
        <w:pStyle w:val="Normal"/>
        <w:bidi w:val="0"/>
        <w:jc w:val="left"/>
        <w:rPr/>
      </w:pP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Μια μετοχή</w:t>
      </w:r>
      <w:r>
        <w:rPr/>
        <w:t xml:space="preserve"> πωλείται σήμερα για $ 40 ανά μετοχή. Στο τέλος του έτους, πληρώνει μέρισμα $ 2 ανά μετοχή και πωλείται για $ 44.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Ποιο είναι το συνολικό ποσοστό απόδοσης;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bookmarkStart w:id="0" w:name="__DdeLink__66_1176807467"/>
      <w:r>
        <w:rPr/>
        <w:t>Ποια είναι η μερισματική απόδοση και το ποσοστό κεφαλαιουχικού κέρδους;</w:t>
      </w:r>
      <w:bookmarkEnd w:id="0"/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Άσκηση 2.</w:t>
      </w:r>
    </w:p>
    <w:p>
      <w:pPr>
        <w:pStyle w:val="Normal"/>
        <w:bidi w:val="0"/>
        <w:jc w:val="left"/>
        <w:rPr/>
      </w:pPr>
      <w:bookmarkStart w:id="1" w:name="__DdeLink__68_1176807467"/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Μια μετοχή</w:t>
      </w:r>
      <w:r>
        <w:rPr/>
        <w:t xml:space="preserve"> πωλείται σήμερα για $ 40 ανά μετοχή. Στο τέλος του έτους, πληρώνει μέρισμα $ 2 ανά μετοχή και πωλείται για $ 44.</w:t>
      </w:r>
      <w:bookmarkEnd w:id="1"/>
    </w:p>
    <w:p>
      <w:pPr>
        <w:pStyle w:val="Normal"/>
        <w:bidi w:val="0"/>
        <w:jc w:val="left"/>
        <w:rPr/>
      </w:pPr>
      <w:r>
        <w:rPr/>
        <w:t xml:space="preserve">Ας υποθέσουμε ότι η τιμή των μετοχών στο τέλος του έτους μετά την καταβολή του μερίσματος είναι $ 36.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Ποια είναι η μερισματική απόδοση και ποιο το ποσοστό κεφαλαιακού κέρδους σε αυτή την περίπτωση;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bookmarkStart w:id="2" w:name="__DdeLink__70_1176807467"/>
      <w:r>
        <w:rPr/>
        <w:t>Γιατί δεν επηρεάζεται η μερισματική απόδοση;</w:t>
      </w:r>
      <w:bookmarkEnd w:id="2"/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Άσκηση 3.</w:t>
      </w:r>
    </w:p>
    <w:p>
      <w:pPr>
        <w:pStyle w:val="Normal"/>
        <w:bidi w:val="0"/>
        <w:jc w:val="left"/>
        <w:rPr/>
      </w:pPr>
      <w:bookmarkStart w:id="3" w:name="__DdeLink__64_1176807467"/>
      <w:r>
        <w:rPr/>
        <w:t xml:space="preserve">Αγοράζετε 100 μετοχές μιας εταιρείας για 40 δολάρια ανά μετοχή. </w:t>
      </w:r>
      <w:r>
        <w:rPr>
          <w:rFonts w:eastAsia="Noto Serif CJK SC" w:cs="FreeSans"/>
          <w:color w:val="auto"/>
          <w:kern w:val="2"/>
          <w:sz w:val="24"/>
          <w:szCs w:val="24"/>
          <w:lang w:val="el-GR" w:eastAsia="zh-CN" w:bidi="hi-IN"/>
        </w:rPr>
        <w:t>Σ</w:t>
      </w:r>
      <w:r>
        <w:rPr/>
        <w:t xml:space="preserve">το τέλος του έτους </w:t>
      </w:r>
      <w:r>
        <w:rPr>
          <w:rFonts w:eastAsia="" w:cs="" w:cstheme="minorBidi" w:eastAsiaTheme="minorHAnsi"/>
          <w:color w:val="auto"/>
          <w:kern w:val="2"/>
          <w:sz w:val="24"/>
          <w:szCs w:val="24"/>
          <w:lang w:val="el-GR" w:eastAsia="el-GR" w:bidi="ar-SA"/>
        </w:rPr>
        <w:t>η</w:t>
      </w: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 xml:space="preserve"> μετοχή</w:t>
      </w:r>
      <w:r>
        <w:rPr/>
        <w:t xml:space="preserve"> </w:t>
      </w: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δίδει</w:t>
      </w:r>
      <w:r>
        <w:rPr/>
        <w:t xml:space="preserve"> μέρισμα 2 δολ. ανά μετοχή. 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 xml:space="preserve">Ποια είναι </w:t>
      </w:r>
      <w:r>
        <w:rPr>
          <w:rFonts w:eastAsia="Noto Serif CJK SC" w:cs="FreeSans"/>
          <w:color w:val="auto"/>
          <w:kern w:val="2"/>
          <w:sz w:val="24"/>
          <w:szCs w:val="24"/>
          <w:lang w:val="el-GR" w:eastAsia="zh-CN" w:bidi="hi-IN"/>
        </w:rPr>
        <w:t xml:space="preserve">η ποσοστιαία απόδοση στο τέλος του έτους για τις μετοχές των εταιρειών </w:t>
      </w:r>
      <w:r>
        <w:rPr/>
        <w:t>που αναφέρονται  στο φύλο 3 του excel;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>Ποι</w:t>
      </w:r>
      <w:r>
        <w:rPr>
          <w:rFonts w:eastAsia="Noto Serif CJK SC" w:cs="FreeSans"/>
          <w:color w:val="auto"/>
          <w:kern w:val="2"/>
          <w:sz w:val="24"/>
          <w:szCs w:val="24"/>
          <w:lang w:val="el-GR" w:eastAsia="zh-CN" w:bidi="hi-IN"/>
        </w:rPr>
        <w:t>ος</w:t>
      </w:r>
      <w:r>
        <w:rPr/>
        <w:t xml:space="preserve"> είναι </w:t>
      </w:r>
      <w:r>
        <w:rPr>
          <w:rFonts w:eastAsia="Noto Serif CJK SC" w:cs="FreeSans"/>
          <w:color w:val="auto"/>
          <w:kern w:val="2"/>
          <w:sz w:val="24"/>
          <w:szCs w:val="24"/>
          <w:lang w:val="el-GR" w:eastAsia="zh-CN" w:bidi="hi-IN"/>
        </w:rPr>
        <w:t>ο</w:t>
      </w:r>
      <w:r>
        <w:rPr/>
        <w:t xml:space="preserve"> πραγματικός (προσαρμοσμέν</w:t>
      </w:r>
      <w:r>
        <w:rPr>
          <w:rFonts w:eastAsia="Noto Serif CJK SC" w:cs="FreeSans"/>
          <w:color w:val="auto"/>
          <w:kern w:val="2"/>
          <w:sz w:val="24"/>
          <w:szCs w:val="24"/>
          <w:lang w:val="el-GR" w:eastAsia="zh-CN" w:bidi="hi-IN"/>
        </w:rPr>
        <w:t>ος</w:t>
      </w:r>
      <w:r>
        <w:rPr/>
        <w:t xml:space="preserve"> </w:t>
      </w:r>
      <w:r>
        <w:rPr>
          <w:rFonts w:eastAsia="Noto Serif CJK SC" w:cs="FreeSans"/>
          <w:color w:val="auto"/>
          <w:kern w:val="2"/>
          <w:sz w:val="24"/>
          <w:szCs w:val="24"/>
          <w:lang w:val="el-GR" w:eastAsia="zh-CN" w:bidi="hi-IN"/>
        </w:rPr>
        <w:t>για</w:t>
      </w:r>
      <w:r>
        <w:rPr/>
        <w:t xml:space="preserve"> τον πληθωρισμό) ρυθμός απόδοσης; Υποθέστε πληθωρισμού ίσο με 4%.</w:t>
      </w:r>
      <w:bookmarkEnd w:id="3"/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Άσκηση 4.</w:t>
      </w:r>
    </w:p>
    <w:p>
      <w:pPr>
        <w:pStyle w:val="Normal"/>
        <w:bidi w:val="0"/>
        <w:jc w:val="left"/>
        <w:rPr/>
      </w:pPr>
      <w:r>
        <w:rPr/>
        <w:t xml:space="preserve">Το χρηματιστήριο της </w:t>
      </w:r>
      <w:bookmarkStart w:id="4" w:name="__DdeLink__62_1176807467"/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ΧΧΧ</w:t>
      </w:r>
      <w:bookmarkEnd w:id="4"/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 xml:space="preserve"> χώρας</w:t>
      </w:r>
      <w:r>
        <w:rPr/>
        <w:t xml:space="preserve"> </w:t>
      </w: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είχε</w:t>
      </w:r>
      <w:r>
        <w:rPr/>
        <w:t xml:space="preserve"> ποσοστό απόδοσης 95% και ο πληθωρισμός κατά τη διάρκεια του έτους ήταν 80%.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Στις Ηνωμένες Πολιτείες, αντίθετα, η χρηματιστηριακή απόδοση ήταν μόλις 12%, αλλά ο πληθωρισμός ήταν μόνο 2%.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Σε ποια χρηματιστηριακή αγορά προέκυψε το υψηλότερο πραγματικό ποσοστό απόδοσης;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tip</w:t>
      </w:r>
    </w:p>
    <w:p>
      <w:pPr>
        <w:pStyle w:val="Normal"/>
        <w:bidi w:val="0"/>
        <w:jc w:val="left"/>
        <w:rPr/>
      </w:pPr>
      <w:r>
        <w:rPr/>
        <w:t xml:space="preserve">Οι Ηνωμένες Πολιτείες </w:t>
      </w: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έχουν</w:t>
      </w:r>
      <w:r>
        <w:rPr/>
        <w:t xml:space="preserve"> τ</w:t>
      </w: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ην</w:t>
      </w:r>
      <w:r>
        <w:rPr/>
        <w:t xml:space="preserve"> υψηλότερη πραγματική απόδοση παρά το χαμηλότερη ονομαστικ</w:t>
      </w: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ό</w:t>
      </w:r>
      <w:r>
        <w:rPr/>
        <w:t xml:space="preserve"> ποσοστό απόδοσης.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Παρατηρήστε ότι η κατά προσέγγιση σχέση μεταξύ πραγματικών και ονομαστικών ποσοστών απόδοσης ισχύει μόνο για χαμηλές τιμές:</w:t>
      </w:r>
    </w:p>
    <w:p>
      <w:pPr>
        <w:pStyle w:val="Normal"/>
        <w:bidi w:val="0"/>
        <w:jc w:val="left"/>
        <w:rPr/>
      </w:pPr>
      <w:r>
        <w:rPr/>
        <w:t>Πραγματικό ποσοστό απόδοσης  = ονομαστικό ποσοστό απόδοσης - ποσοστό πληθωρισμού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Άσκηση 5.</w:t>
      </w:r>
    </w:p>
    <w:p>
      <w:pPr>
        <w:pStyle w:val="Normal"/>
        <w:bidi w:val="0"/>
        <w:jc w:val="left"/>
        <w:rPr/>
      </w:pPr>
      <w:r>
        <w:rPr/>
        <w:t xml:space="preserve">Από το 1990 ο μέσος πληθωρισμός στις Ηνωμένες Πολιτείες </w:t>
      </w:r>
      <w:r>
        <w:rPr>
          <w:rFonts w:eastAsia="" w:cs="" w:cstheme="minorBidi" w:eastAsiaTheme="minorHAnsi"/>
          <w:color w:val="auto"/>
          <w:sz w:val="24"/>
          <w:szCs w:val="24"/>
          <w:lang w:val="el-GR" w:eastAsia="el-GR" w:bidi="ar-SA"/>
        </w:rPr>
        <w:t>ήταν</w:t>
      </w:r>
      <w:r>
        <w:rPr/>
        <w:t xml:space="preserve"> 3,1% ετησίως.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/>
        <w:t xml:space="preserve">Για αυτή την περίοδο, ποιο ήταν το μέσο πραγματικό ποσοστό απόδοσης 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των </w:t>
      </w:r>
      <w:bookmarkStart w:id="5" w:name="__DdeLink__60_1176807467"/>
      <w:r>
        <w:rPr/>
        <w:t>κρατικών ομολόγων</w:t>
      </w:r>
      <w:bookmarkEnd w:id="5"/>
      <w:r>
        <w:rPr/>
        <w:t xml:space="preserve">, 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των </w:t>
      </w:r>
      <w:bookmarkStart w:id="6" w:name="__DdeLink__58_1176807467"/>
      <w:r>
        <w:rPr/>
        <w:t>έντοκων γραμματίων</w:t>
      </w:r>
      <w:bookmarkEnd w:id="6"/>
      <w:r>
        <w:rPr/>
        <w:t xml:space="preserve"> του Αμερικάνικου δημοσίου, και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των μετοχών;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Χρησιμοποιήστε τα </w:t>
      </w:r>
      <w:r>
        <w:rPr>
          <w:rFonts w:eastAsia="" w:cs="" w:ascii="Times New Roman" w:hAnsi="Times New Roman" w:cstheme="minorBidi" w:eastAsiaTheme="minorHAnsi"/>
          <w:b w:val="false"/>
          <w:bCs w:val="false"/>
          <w:color w:val="auto"/>
          <w:kern w:val="0"/>
          <w:sz w:val="24"/>
          <w:szCs w:val="24"/>
          <w:lang w:val="el-GR" w:eastAsia="el-GR" w:bidi="ar-SA"/>
        </w:rPr>
        <w:t>στοιχεία του φύλλου 5</w:t>
      </w:r>
      <w:r>
        <w:rPr>
          <w:b w:val="false"/>
          <w:bCs w:val="false"/>
        </w:rPr>
        <w:t>: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bookmarkStart w:id="7" w:name="__DdeLink__85_1176807467"/>
      <w:r>
        <w:rPr>
          <w:b/>
          <w:bCs/>
        </w:rPr>
        <w:t>Άσκηση 7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bookmarkStart w:id="8" w:name="__DdeLink__72_1176807467"/>
      <w:r>
        <w:rPr>
          <w:b w:val="false"/>
          <w:bCs w:val="false"/>
        </w:rPr>
        <w:t xml:space="preserve">Ο συνοδευτικός πίνακας (βλέπε φύλο 7 στο excel) δείχνει τις ετήσιες τιμές των μετοχών στο Χρηματιστήριο της Costaguanan για την περίοδο 2005-2010.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Κατασκευάστε </w:t>
      </w: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  <w:t>ένα</w:t>
      </w:r>
      <w:r>
        <w:rPr>
          <w:b w:val="false"/>
          <w:bCs w:val="false"/>
        </w:rPr>
        <w:t xml:space="preserve"> δείκτ</w:t>
      </w: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  <w:t>η</w:t>
      </w:r>
      <w:r>
        <w:rPr>
          <w:b w:val="false"/>
          <w:bCs w:val="false"/>
        </w:rPr>
        <w:t xml:space="preserve"> του χρηματιστηρίου, χρησιμοποιώντας βάρη όπως στον Dow Jones, και έναν </w:t>
      </w: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  <w:t>δεύτερο</w:t>
      </w:r>
      <w:r>
        <w:rPr>
          <w:b w:val="false"/>
          <w:bCs w:val="false"/>
        </w:rPr>
        <w:t xml:space="preserve"> που χρησιμοποιεί βάρη όπως στο Standard &amp; Poor's Composite Index.</w:t>
      </w:r>
      <w:bookmarkEnd w:id="8"/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bookmarkStart w:id="9" w:name="__DdeLink__75_1176807467"/>
      <w:r>
        <w:rPr/>
        <w:t xml:space="preserve">Ετήσιες τιμές σε Costaguanan pegos </w:t>
      </w:r>
      <w:bookmarkEnd w:id="9"/>
      <w:r>
        <w:rPr/>
        <w:t>για διαπραγμάτευση στο Χρηματιστήριο Sulaco (</w:t>
      </w:r>
      <w:bookmarkStart w:id="10" w:name="__DdeLink__77_1176807467"/>
      <w:r>
        <w:rPr/>
        <w:t>Μόνο πέντε μετοχές διαπραγματεύθηκαν στις αρχές του 2005.</w:t>
      </w:r>
      <w:bookmarkEnd w:id="10"/>
      <w:r>
        <w:rPr/>
        <w:t>)</w:t>
      </w:r>
      <w:bookmarkEnd w:id="7"/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Άσκηση 9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bookmarkStart w:id="11" w:name="__DdeLink__90_1176807467"/>
      <w:r>
        <w:rPr>
          <w:b w:val="false"/>
          <w:bCs w:val="false"/>
        </w:rPr>
        <w:t xml:space="preserve">Ακολουθούν οι ποσοστιαίες αποδόσεις του χρηματιστηρίου και </w:t>
      </w: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  <w:t xml:space="preserve">των Εντόκων Γραμματίων </w:t>
      </w:r>
      <w:r>
        <w:rPr>
          <w:b w:val="false"/>
          <w:bCs w:val="false"/>
        </w:rPr>
        <w:t>μεταξύ 2006 και 2010:</w:t>
      </w:r>
      <w:bookmarkEnd w:id="11"/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α. Ποιο ήταν το ασφάλιστρο κινδύνου για τα κοινά αποθέματα κάθε χρόνο;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β. Ποιο ήταν το μέσο ασφάλιστρο κινδύνου;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color w:val="auto"/>
          <w:kern w:val="2"/>
          <w:sz w:val="24"/>
          <w:szCs w:val="24"/>
          <w:lang w:val="el-GR" w:eastAsia="zh-CN" w:bidi="hi-IN"/>
        </w:rPr>
      </w:pPr>
      <w:bookmarkStart w:id="12" w:name="__DdeLink__202_1176807467"/>
      <w:bookmarkStart w:id="13" w:name="__DdeLink__208_1176807467"/>
      <w:r>
        <w:rPr>
          <w:rFonts w:eastAsia="Noto Serif CJK SC" w:cs="FreeSans"/>
          <w:b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γ. Ποια ήταν η τυπική απόκλιση του ασφαλίστρου κινδύνου;</w:t>
      </w:r>
      <w:bookmarkEnd w:id="12"/>
      <w:bookmarkEnd w:id="13"/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bidi w:val="0"/>
        <w:jc w:val="left"/>
        <w:rPr>
          <w:b/>
          <w:b/>
          <w:bCs/>
        </w:rPr>
      </w:pPr>
      <w:bookmarkStart w:id="14" w:name="__DdeLink__748_1176807467"/>
      <w:r>
        <w:rPr>
          <w:b/>
          <w:bCs/>
        </w:rPr>
        <w:t>Άσκηση 13</w:t>
      </w:r>
      <w:bookmarkEnd w:id="14"/>
    </w:p>
    <w:p>
      <w:pPr>
        <w:pStyle w:val="Normal"/>
        <w:rPr/>
      </w:pPr>
      <w:r>
        <w:rPr/>
        <w:t xml:space="preserve">Η κορυφαία διαχειριστής hedge fund Diana Sauros πιστεύει ότι μια μετοχή με τον ίδιο κίνδυνο με αγοράς με τον δείκτη  S&amp;P 500 θα πουληθεί στο τέλος του έτους στην τιμή των 50 $. Η μετοχή θα δώσει μέρισμα στο τέλος του έτους ίσο με 2 $.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Noto Serif CJK SC" w:cs="FreeSans"/>
          <w:b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Ποια τιμή πρέπει να είναι πρόθυμη να πληρώσει σήμερα για την μετοχή;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bookmarkStart w:id="15" w:name="__DdeLink__1333_1176807467"/>
      <w:r>
        <w:rPr>
          <w:rFonts w:eastAsia="Noto Serif CJK SC" w:cs="FreeSans"/>
          <w:b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Άσκηση 14</w:t>
      </w:r>
      <w:bookmarkEnd w:id="15"/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bookmarkStart w:id="16" w:name="__DdeLink__755_1176807467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 xml:space="preserve">Η κοινή μετοχή της Leaning Tower of Pita, Inc., μια αλυσίδα εστιατορίων, θα δημιουργήσει τις ακόλουθες </w:t>
      </w:r>
      <w:bookmarkStart w:id="17" w:name="__DdeLink__1339_1176807467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χρηματοροές</w:t>
      </w:r>
      <w:bookmarkEnd w:id="17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 xml:space="preserve"> στους επενδυτές το επόμενο έτος:</w:t>
      </w:r>
      <w:bookmarkEnd w:id="16"/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 xml:space="preserve">Με  ύφεση η εταιρεία θα πτωχεύσει. 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Υπολογίστε το αναμενόμενο ποσοστό απόδοσης και την τυπική απόκλιση απόδοσης στους μετόχους του Leaning Tower of Pita.</w:t>
      </w:r>
    </w:p>
    <w:p>
      <w:pPr>
        <w:pStyle w:val="Normal"/>
        <w:bidi w:val="0"/>
        <w:jc w:val="left"/>
        <w:rPr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Noto Serif CJK SC" w:cs="FreeSans"/>
          <w:b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Άσκηση 16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  <w:t xml:space="preserve">Η κοινή μετοχή της Escapist Films πωλεί για 25 $ ανά μετοχή και προσφέρει τις ακόλουθες </w:t>
      </w:r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χρηματοροές</w:t>
      </w: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  <w:t xml:space="preserve"> το επόμενο έτος: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r>
    </w:p>
    <w:p>
      <w:pPr>
        <w:pStyle w:val="Normal"/>
        <w:rPr/>
      </w:pPr>
      <w:r>
        <w:rPr/>
        <w:t xml:space="preserve">Υπολογίστε την αναμενόμενη απόδοση και την τυπική απόκλιση του Escapist. </w:t>
      </w:r>
    </w:p>
    <w:p>
      <w:pPr>
        <w:pStyle w:val="Normal"/>
        <w:rPr/>
      </w:pPr>
      <w:r>
        <w:rPr/>
        <w:t xml:space="preserve">Και τα τρία σενάρια είναι εξίσου πιθανά. </w:t>
      </w:r>
    </w:p>
    <w:p>
      <w:pPr>
        <w:pStyle w:val="Normal"/>
        <w:rPr/>
      </w:pPr>
      <w:r>
        <w:rPr/>
        <w:t xml:space="preserve">Στη συνέχεια, υπολογίστε την αναμενόμενη απόδοση και την τυπική απόκλιση ενός χαρτοφυλακίου που επενδύεται κατά το ήμισυ στο Escapist και το μισό από τον Πύργο της Πίτας. 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  <w:t>Δείξτε ότι η τυπική απόκλιση χαρτοφυλακίου είναι χαμηλότερη από οποιαδήποτε από τις μετοχές.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/>
          <w:b/>
          <w:bCs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/>
          <w:bCs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Άσκηση 17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bookmarkStart w:id="18" w:name="__DdeLink__1352_1176807467"/>
      <w:bookmarkStart w:id="19" w:name="__DdeLink__1348_1176807467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 xml:space="preserve">Εξετάστε το ακόλουθο </w:t>
      </w:r>
      <w:bookmarkEnd w:id="19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σ</w:t>
      </w:r>
      <w:bookmarkEnd w:id="18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ενάριο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bookmarkStart w:id="20" w:name="__DdeLink__1355_1176807467"/>
      <w:bookmarkEnd w:id="20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Είναι λογικό να υποθέσουμε ότι τα ομόλογα του Δημοσίου θα προσφέρουν υψηλότερες αποδόσεις σε ύφεση από  ότι σε άνθηση;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Υπολογίστε το αναμενόμενο ποσοστό απόδοσης και την τυπική απόκλιση για κάθε επένδυση.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 w:val="false"/>
          <w:b w:val="false"/>
          <w:bCs w:val="false"/>
          <w:color w:val="auto"/>
          <w:kern w:val="2"/>
          <w:sz w:val="24"/>
          <w:szCs w:val="24"/>
          <w:lang w:val="el-GR" w:eastAsia="zh-CN" w:bidi="hi-IN"/>
        </w:rPr>
      </w:pPr>
      <w:bookmarkStart w:id="21" w:name="__DdeLink__1357_1176807467"/>
      <w:r>
        <w:rPr>
          <w:rFonts w:eastAsia="Noto Serif CJK SC" w:cs="FreeSans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Ποια επένδυση θα προτιμούσατε;</w:t>
      </w:r>
      <w:bookmarkEnd w:id="21"/>
    </w:p>
    <w:p>
      <w:pPr>
        <w:pStyle w:val="Normal"/>
        <w:bidi w:val="0"/>
        <w:jc w:val="left"/>
        <w:rPr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/>
          <w:b/>
          <w:bCs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/>
          <w:b/>
          <w:bCs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Άσκηση 1</w:t>
      </w:r>
      <w:r>
        <w:rPr>
          <w:rFonts w:eastAsia="Noto Serif CJK SC" w:cs="FreeSans"/>
          <w:b/>
          <w:bCs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el-GR" w:eastAsia="zh-CN" w:bidi="hi-IN"/>
        </w:rPr>
        <w:t>8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/>
          <w:b/>
          <w:bCs/>
          <w:color w:val="auto"/>
          <w:kern w:val="2"/>
          <w:sz w:val="24"/>
          <w:szCs w:val="24"/>
          <w:lang w:val="el-GR" w:eastAsia="zh-CN" w:bidi="hi-IN"/>
        </w:rPr>
      </w:pPr>
      <w:r>
        <w:rPr>
          <w:rFonts w:eastAsia="Noto Serif CJK SC" w:cs="FreeSans" w:ascii="Arial" w:hAnsi="Arial"/>
          <w:b w:val="false"/>
          <w:bCs/>
          <w:i w:val="false"/>
          <w:strike w:val="false"/>
          <w:dstrike w:val="false"/>
          <w:outline w:val="false"/>
          <w:shadow w:val="false"/>
          <w:color w:val="auto"/>
          <w:kern w:val="2"/>
          <w:sz w:val="20"/>
          <w:szCs w:val="24"/>
          <w:u w:val="none"/>
          <w:em w:val="none"/>
          <w:lang w:val="el-GR" w:eastAsia="zh-CN" w:bidi="hi-IN"/>
        </w:rPr>
        <w:t>Χ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ρησιμοποιήστε τα παρακάτω δεδομένα και εξετάστε ένα χαρτοφυλάκιο με βάρη 0,60 σε μετοχές και 0,40 σε ομόλογα.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/>
          <w:b/>
          <w:bCs/>
          <w:color w:val="auto"/>
          <w:kern w:val="2"/>
          <w:sz w:val="24"/>
          <w:szCs w:val="24"/>
          <w:lang w:val="el-GR" w:eastAsia="zh-CN" w:bidi="hi-IN"/>
        </w:rPr>
      </w:pPr>
      <w:r>
        <w:rPr/>
        <w:t>a.</w:t>
        <w:tab/>
        <w:t>Ποιο είναι το ποσοστό απόδοσης του χαρτοφυλακίου σε κάθε σενάριο;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/>
          <w:b/>
          <w:bCs/>
          <w:color w:val="auto"/>
          <w:kern w:val="2"/>
          <w:sz w:val="24"/>
          <w:szCs w:val="24"/>
          <w:lang w:val="el-GR" w:eastAsia="zh-CN" w:bidi="hi-IN"/>
        </w:rPr>
      </w:pPr>
      <w:r>
        <w:rPr/>
        <w:t>b.</w:t>
        <w:tab/>
        <w:t>Ποιο είναι το αναμενόμενο ποσοστό απόδοσης και η τυπική απόκλιση του χαρτοφυλακίου;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/>
          <w:b/>
          <w:bCs/>
          <w:color w:val="auto"/>
          <w:kern w:val="2"/>
          <w:sz w:val="24"/>
          <w:szCs w:val="24"/>
          <w:lang w:val="el-GR" w:eastAsia="zh-CN" w:bidi="hi-IN"/>
        </w:rPr>
      </w:pPr>
      <w:r>
        <w:rPr/>
        <w:t>c.</w:t>
        <w:tab/>
        <w:t>Θα προτιμούσατε να επενδύσετε στο χαρτοφυλάκιο, μόνο σε μετοχές ή μόνο σε ομόλογα;</w:t>
      </w:r>
    </w:p>
    <w:p>
      <w:pPr>
        <w:pStyle w:val="Normal"/>
        <w:bidi w:val="0"/>
        <w:jc w:val="left"/>
        <w:rPr>
          <w:rFonts w:ascii="Liberation Serif" w:hAnsi="Liberation Serif" w:eastAsia="Noto Serif CJK SC" w:cs="FreeSans"/>
          <w:b/>
          <w:b/>
          <w:bCs/>
          <w:color w:val="auto"/>
          <w:kern w:val="2"/>
          <w:sz w:val="24"/>
          <w:szCs w:val="24"/>
          <w:lang w:val="el-GR" w:eastAsia="zh-CN" w:bidi="hi-IN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FreeSans"/>
      <w:color w:val="auto"/>
      <w:kern w:val="2"/>
      <w:sz w:val="24"/>
      <w:szCs w:val="24"/>
      <w:lang w:val="el-GR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oto Serif CJK SC" w:cs="FreeSans"/>
      <w:b/>
      <w:bCs/>
      <w:sz w:val="36"/>
      <w:szCs w:val="3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596</TotalTime>
  <Application>LibreOffice/7.0.4.2$Linux_X86_64 LibreOffice_project/00$Build-2</Application>
  <AppVersion>15.0000</AppVersion>
  <Pages>3</Pages>
  <Words>704</Words>
  <Characters>3739</Characters>
  <CharactersWithSpaces>4395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2020-02-17T10:41:24Z</dcterms:created>
  <dc:creator/>
  <dc:description/>
  <dc:language>el-GR</dc:language>
  <cp:lastModifiedBy>Sotirios Nikolopoulos</cp:lastModifiedBy>
  <dcterms:modified xsi:type="dcterms:W3CDTF">2021-05-21T13:04:44Z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