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127" w:rsidRDefault="00F91B69" w:rsidP="00F91B6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Απαντήσεις θεμάτων</w:t>
      </w:r>
    </w:p>
    <w:p w:rsidR="00F91B69" w:rsidRDefault="00F91B69" w:rsidP="00F91B6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F91B69" w:rsidRDefault="00F91B69" w:rsidP="00F91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1</w:t>
      </w:r>
      <w:r w:rsidRPr="00F91B69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Θέμα: Οι ιδιώτες Α αφενός και Β και Γ αφετέρου συνδέονται μεταξύ τους με σύμβαση εργασίας, η οποία καθορίζει μία ιδιωτική έννομη σχέση. </w:t>
      </w:r>
    </w:p>
    <w:p w:rsidR="00F91B69" w:rsidRDefault="00F91B69" w:rsidP="00F91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Τα θεμελιώδη δικαιώματα απευθύνονται καταρχήν ιστορικά έναντι του κράτους και κάθε φορές δημόσιας εξουσίας. Οι Α, Β και Γ είναι όμως ιδιώτες. Παρ’ όλα αυτά με βάση την θεωρία της λεγόμενης «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τριτενέργειας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» των θεμελιωδών δικαιωμάτων, η οποία κατοχυρώνεται πλέον και στο άρθρο 25 παρ. 1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εδ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. γ΄ Σ, τα θεμελιώδη δικαιώματα ισχύουν και στις σχέσεις μεταξύ ιδιωτών, εφόσον προσιδιάζουν σε αυτές. Πράγματι τόσο η οικονομική-επιχειρηματική ελευθερία του εργοδότη όσο και το δικαίωμα στον σωματικό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αυτοκαθορισμό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των εργαζομένων προστατεύονται από το Σύνταγμα από τα άρθρα 5 παρ. 1 και 5 παρ. 5 αντίστοιχα και προσιδιάζουν στην προκείμενη ιδιωτική έννομη σχέση με βάση την θεωρία της «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τριτενέργειας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>».</w:t>
      </w:r>
    </w:p>
    <w:p w:rsidR="00F91B69" w:rsidRDefault="00F91B69" w:rsidP="00F91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Όσον αφορά τον τρόπο της εφαρμογής των θεμελιωδών δικαιωμάτων στην ιδιωτική έννομη σχέση υπάρχουν δύο θεωρίες. Η πρώτη είναι η θεωρία της άμεσης «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τριτενέργειας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>» με βάση την οποία τα θεμελιώδη δικαιώματα ισχύουν άμεσα στις σχέσεις μεταξύ ιδιωτών χωρίς την παρέμβαση των κανόνων του ιδιωτικού δικαίου. Η δεύτερη είναι η θεωρία της έμμεσης «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τριτενέργειας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>», η οποία στην Ελλάδα είναι η κρατούσα και ορθότερη με βάση την οποία τα θεμελιώδη δικαιώματα ισχύουν στις ιδιωτικές έννομες σχέσεις μέσω των γενικών ρητρών και αόριστων νομικών εννοιών του Ιδιωτικού Δικαίου, Αστικού, Εμπορικού και Εργατικού.</w:t>
      </w:r>
    </w:p>
    <w:p w:rsidR="00F91B69" w:rsidRDefault="00F91B69" w:rsidP="00F91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Εν προκειμένω λοιπόν αμφότερες οι πλευρές μπορούν με βάση την θεωρία της έμμεσης «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τριτενέργειας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>» να επικαλεστούν τα θεμελιώδη δικαιώματά τους μέσω των γενικών ρητρών και αόριστων νομικών εννοιών του Εργατικού Δικαίου</w:t>
      </w:r>
      <w:r w:rsidR="00734F16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734F16" w:rsidRDefault="00734F16" w:rsidP="00F91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Το εάν ο εργοδότης ή οι εργαζόμενοι έχουν δίκιο κι αν οι εργαζόμενοι μπορούν να αρνηθούν τον εμβολιασμό ή ο εργοδότης μπορεί να καταγγείλει την σύμβαση εργασίας είναι άλλο θέμα το οποίο δεν μας ζητείται και δεν πρέπει να απαντήσουμε.</w:t>
      </w:r>
    </w:p>
    <w:p w:rsidR="00734F16" w:rsidRDefault="00734F16" w:rsidP="00F91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734F16" w:rsidRDefault="00734F16" w:rsidP="00F91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lastRenderedPageBreak/>
        <w:t>2</w:t>
      </w:r>
      <w:r w:rsidRPr="00734F16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ο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Θέμα: Στο προκείμενο θέμα οι θέσεις της εταιρίας Α είναι σωστές διότι η εταιρία ως ΝΠΙΔ μπορεί να επικαλεστεί την οικονομική-επιχειρηματική ελευθερία του άρθρου 5 παρ. 1 Σ, η οποία ισχύει και για τα νομικά πρόσωπα. Η οικονομική ελευθερία άλλωστε τις τελευταίες δεκαετίες ασκείται κατά κόρον και κυρίως από εταιρίες ως ΝΠΙΔ και δεδομένου ότι η οικονομική τους δραστηριότητα εμπίπτει στο πεδίο εφαρμογής της οικονομικής ελευθερίας και η τελευταία προσιδιάζει στην δραστηριότητα και τον καταστατικό σκοπό της επιχείρησης, η εταιρία μπορεί να επικαλεστεί έναντι της δημόσιας υπηρεσίας αυτό το θεμελιώδες δικαίωμα. </w:t>
      </w:r>
    </w:p>
    <w:p w:rsidR="00734F16" w:rsidRPr="00F91B69" w:rsidRDefault="00734F16" w:rsidP="00F91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Το εάν η πράξη της δημόσιας αρχής παραβιάζει την οικονομική-επιχειρηματική ελευθερία της Α και εάν εφαρμόζει την αρχή της αναλογικότητας είναι άλλο θέμα, το  οποίο δεν μας ζητάει το θέμα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l-GR"/>
        </w:rPr>
        <w:t xml:space="preserve"> και δεν πρέπει να απαντήσουμε.</w:t>
      </w:r>
    </w:p>
    <w:sectPr w:rsidR="00734F16" w:rsidRPr="00F91B69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A0D" w:rsidRDefault="00096A0D" w:rsidP="000C76F0">
      <w:pPr>
        <w:spacing w:after="0" w:line="240" w:lineRule="auto"/>
      </w:pPr>
      <w:r>
        <w:separator/>
      </w:r>
    </w:p>
  </w:endnote>
  <w:endnote w:type="continuationSeparator" w:id="0">
    <w:p w:rsidR="00096A0D" w:rsidRDefault="00096A0D" w:rsidP="000C7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931303"/>
      <w:docPartObj>
        <w:docPartGallery w:val="Page Numbers (Bottom of Page)"/>
        <w:docPartUnique/>
      </w:docPartObj>
    </w:sdtPr>
    <w:sdtContent>
      <w:p w:rsidR="000C76F0" w:rsidRDefault="000C76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C76F0">
          <w:rPr>
            <w:noProof/>
            <w:lang w:val="el-GR"/>
          </w:rPr>
          <w:t>1</w:t>
        </w:r>
        <w:r>
          <w:fldChar w:fldCharType="end"/>
        </w:r>
      </w:p>
    </w:sdtContent>
  </w:sdt>
  <w:p w:rsidR="000C76F0" w:rsidRDefault="000C76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A0D" w:rsidRDefault="00096A0D" w:rsidP="000C76F0">
      <w:pPr>
        <w:spacing w:after="0" w:line="240" w:lineRule="auto"/>
      </w:pPr>
      <w:r>
        <w:separator/>
      </w:r>
    </w:p>
  </w:footnote>
  <w:footnote w:type="continuationSeparator" w:id="0">
    <w:p w:rsidR="00096A0D" w:rsidRDefault="00096A0D" w:rsidP="000C7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69"/>
    <w:rsid w:val="00096A0D"/>
    <w:rsid w:val="000C76F0"/>
    <w:rsid w:val="00450127"/>
    <w:rsid w:val="00734F16"/>
    <w:rsid w:val="00F9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1AFDF-F3EA-4133-9FF6-373D3142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76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C76F0"/>
  </w:style>
  <w:style w:type="paragraph" w:styleId="a4">
    <w:name w:val="footer"/>
    <w:basedOn w:val="a"/>
    <w:link w:val="Char0"/>
    <w:uiPriority w:val="99"/>
    <w:unhideWhenUsed/>
    <w:rsid w:val="000C76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C7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2021-09-02T11:39:00Z</dcterms:created>
  <dcterms:modified xsi:type="dcterms:W3CDTF">2021-09-02T11:58:00Z</dcterms:modified>
</cp:coreProperties>
</file>