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B3AE" w14:textId="444FA799" w:rsidR="00F5166D" w:rsidRDefault="00623797">
      <w:pPr>
        <w:pStyle w:val="a3"/>
        <w:tabs>
          <w:tab w:val="left" w:pos="9738"/>
        </w:tabs>
        <w:ind w:left="114"/>
        <w:rPr>
          <w:rFonts w:ascii="Times New Roman"/>
        </w:rPr>
      </w:pPr>
      <w:r>
        <w:rPr>
          <w:rFonts w:ascii="Times New Roman"/>
          <w:noProof/>
        </w:rPr>
        <w:drawing>
          <wp:inline distT="0" distB="0" distL="0" distR="0" wp14:anchorId="32C11782" wp14:editId="34AF9B50">
            <wp:extent cx="1845167" cy="4333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45167" cy="433387"/>
                    </a:xfrm>
                    <a:prstGeom prst="rect">
                      <a:avLst/>
                    </a:prstGeom>
                  </pic:spPr>
                </pic:pic>
              </a:graphicData>
            </a:graphic>
          </wp:inline>
        </w:drawing>
      </w:r>
      <w:r>
        <w:rPr>
          <w:rFonts w:ascii="Times New Roman"/>
        </w:rPr>
        <w:tab/>
      </w:r>
      <w:r w:rsidR="00D11C54">
        <w:rPr>
          <w:rFonts w:ascii="Times New Roman"/>
          <w:noProof/>
          <w:position w:val="2"/>
        </w:rPr>
        <mc:AlternateContent>
          <mc:Choice Requires="wpg">
            <w:drawing>
              <wp:inline distT="0" distB="0" distL="0" distR="0" wp14:anchorId="4840C382" wp14:editId="3EDD66A8">
                <wp:extent cx="528320" cy="347980"/>
                <wp:effectExtent l="1905" t="4445" r="0" b="0"/>
                <wp:docPr id="89622250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320" cy="347980"/>
                          <a:chOff x="0" y="0"/>
                          <a:chExt cx="832" cy="548"/>
                        </a:xfrm>
                      </wpg:grpSpPr>
                      <pic:pic xmlns:pic="http://schemas.openxmlformats.org/drawingml/2006/picture">
                        <pic:nvPicPr>
                          <pic:cNvPr id="27366762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 cy="5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0731862"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 y="185"/>
                            <a:ext cx="200" cy="1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7338788"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0" y="185"/>
                            <a:ext cx="163" cy="1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0299364"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06" y="185"/>
                            <a:ext cx="234" cy="1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981905"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3" y="145"/>
                            <a:ext cx="425" cy="4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0197014"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 y="4"/>
                            <a:ext cx="425" cy="40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14C7E36" id="Group 13" o:spid="_x0000_s1026" style="width:41.6pt;height:27.4pt;mso-position-horizontal-relative:char;mso-position-vertical-relative:line" coordsize="832,5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832;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">
                  <v:imagedata r:id="rId14" o:title=""/>
                </v:shape>
                <v:shape id="Picture 18" o:spid="_x0000_s1028" type="#_x0000_t75" style="position:absolute;left:89;top:185;width:200;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">
                  <v:imagedata r:id="rId15" o:title=""/>
                </v:shape>
                <v:shape id="Picture 17" o:spid="_x0000_s1029" type="#_x0000_t75" style="position:absolute;left:320;top:185;width:163;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">
                  <v:imagedata r:id="rId16" o:title=""/>
                </v:shape>
                <v:shape id="Picture 16" o:spid="_x0000_s1030" type="#_x0000_t75" style="position:absolute;left:506;top:185;width:234;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">
                  <v:imagedata r:id="rId17" o:title=""/>
                </v:shape>
                <v:shape id="Picture 15" o:spid="_x0000_s1031" type="#_x0000_t75" style="position:absolute;left:403;top:145;width:425;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">
                  <v:imagedata r:id="rId18" o:title=""/>
                </v:shape>
                <v:shape id="Picture 14" o:spid="_x0000_s1032" type="#_x0000_t75" style="position:absolute;left:3;top:4;width:425;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">
                  <v:imagedata r:id="rId19" o:title=""/>
                </v:shape>
                <w10:anchorlock/>
              </v:group>
            </w:pict>
          </mc:Fallback>
        </mc:AlternateContent>
      </w:r>
    </w:p>
    <w:p w14:paraId="6CDBD1BB" w14:textId="77777777" w:rsidR="00F5166D" w:rsidRDefault="00F5166D">
      <w:pPr>
        <w:pStyle w:val="a3"/>
        <w:spacing w:before="8"/>
        <w:rPr>
          <w:rFonts w:ascii="Times New Roman"/>
          <w:sz w:val="6"/>
        </w:rPr>
      </w:pPr>
    </w:p>
    <w:p w14:paraId="4809E3A0" w14:textId="34FF1608" w:rsidR="00F5166D" w:rsidRDefault="00D11C54">
      <w:pPr>
        <w:pStyle w:val="a3"/>
        <w:spacing w:line="20" w:lineRule="exact"/>
        <w:ind w:left="110"/>
        <w:rPr>
          <w:rFonts w:ascii="Times New Roman"/>
          <w:sz w:val="2"/>
        </w:rPr>
      </w:pPr>
      <w:r>
        <w:rPr>
          <w:rFonts w:ascii="Times New Roman"/>
          <w:noProof/>
          <w:sz w:val="2"/>
        </w:rPr>
        <mc:AlternateContent>
          <mc:Choice Requires="wpg">
            <w:drawing>
              <wp:inline distT="0" distB="0" distL="0" distR="0" wp14:anchorId="4A30DA5D" wp14:editId="6B68F800">
                <wp:extent cx="6645910" cy="5080"/>
                <wp:effectExtent l="12700" t="9525" r="8890" b="4445"/>
                <wp:docPr id="179369768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910" cy="5080"/>
                          <a:chOff x="0" y="0"/>
                          <a:chExt cx="10466" cy="8"/>
                        </a:xfrm>
                      </wpg:grpSpPr>
                      <wps:wsp>
                        <wps:cNvPr id="1414465112" name="Line 12"/>
                        <wps:cNvCnPr>
                          <a:cxnSpLocks noChangeShapeType="1"/>
                        </wps:cNvCnPr>
                        <wps:spPr bwMode="auto">
                          <a:xfrm>
                            <a:off x="0" y="4"/>
                            <a:ext cx="10466"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82A699" id="Group 11" o:spid="_x0000_s1026" style="width:523.3pt;height:.4pt;mso-position-horizontal-relative:char;mso-position-vertical-relative:line" coordsize="10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">
                <v:line id="Line 12" o:spid="_x0000_s1027" style="position:absolute;visibility:visible;mso-wrap-style:square" from="0,4" to="10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" strokeweight=".14042mm"/>
                <w10:anchorlock/>
              </v:group>
            </w:pict>
          </mc:Fallback>
        </mc:AlternateContent>
      </w:r>
    </w:p>
    <w:p w14:paraId="3E6E5228" w14:textId="77777777" w:rsidR="00F5166D" w:rsidRDefault="00F5166D">
      <w:pPr>
        <w:pStyle w:val="a3"/>
        <w:spacing w:before="5"/>
        <w:rPr>
          <w:rFonts w:ascii="Times New Roman"/>
          <w:sz w:val="16"/>
        </w:rPr>
      </w:pPr>
    </w:p>
    <w:p w14:paraId="2952AAFD" w14:textId="77777777" w:rsidR="00F5166D" w:rsidRPr="00D11C54" w:rsidRDefault="00623797">
      <w:pPr>
        <w:spacing w:before="78" w:line="257" w:lineRule="exact"/>
        <w:ind w:left="107"/>
        <w:rPr>
          <w:rFonts w:ascii="Palatino Linotype"/>
          <w:i/>
          <w:sz w:val="20"/>
          <w:lang w:val="el-GR"/>
        </w:rPr>
      </w:pPr>
      <w:r w:rsidRPr="00D11C54">
        <w:rPr>
          <w:rFonts w:ascii="Palatino Linotype"/>
          <w:i/>
          <w:sz w:val="20"/>
          <w:lang w:val="el-GR"/>
        </w:rPr>
        <w:t>Άρθρο</w:t>
      </w:r>
    </w:p>
    <w:p w14:paraId="6376794F" w14:textId="77777777" w:rsidR="00F5166D" w:rsidRPr="00D11C54" w:rsidRDefault="00623797">
      <w:pPr>
        <w:pStyle w:val="a4"/>
        <w:spacing w:line="213" w:lineRule="auto"/>
        <w:rPr>
          <w:lang w:val="el-GR"/>
        </w:rPr>
      </w:pPr>
      <w:r w:rsidRPr="00D11C54">
        <w:rPr>
          <w:lang w:val="el-GR"/>
        </w:rPr>
        <w:t>Διαπροσωπική προσαρμογή, αυτοαποτελεσματικότητα και μεταγνωστικές δεξιότητες σε Ιταλούς εφήβους με ειδικές μαθησιακές διαταραχές: Μια συγχρονική μελέτη</w:t>
      </w:r>
    </w:p>
    <w:p w14:paraId="5318BDE4" w14:textId="77777777" w:rsidR="00F5166D" w:rsidRPr="00623797" w:rsidRDefault="00623797">
      <w:pPr>
        <w:pStyle w:val="1"/>
        <w:spacing w:before="273"/>
        <w:ind w:left="114" w:firstLine="0"/>
        <w:jc w:val="left"/>
        <w:rPr>
          <w:lang w:val="fr-FR"/>
        </w:rPr>
      </w:pPr>
      <w:r w:rsidRPr="00D11C54">
        <w:rPr>
          <w:lang w:val="fr-FR"/>
        </w:rPr>
        <w:t>Elena Commodari, Valentina Lucia La Rosa *,</w:t>
      </w:r>
      <w:r>
        <w:rPr>
          <w:noProof/>
          <w:spacing w:val="-1"/>
          <w:w w:val="97"/>
        </w:rPr>
        <w:drawing>
          <wp:inline distT="0" distB="0" distL="0" distR="0" wp14:anchorId="4F360BCF" wp14:editId="676FDEDC">
            <wp:extent cx="115198" cy="115198"/>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20" cstate="print"/>
                    <a:stretch>
                      <a:fillRect/>
                    </a:stretch>
                  </pic:blipFill>
                  <pic:spPr>
                    <a:xfrm>
                      <a:off x="0" y="0"/>
                      <a:ext cx="115198" cy="115198"/>
                    </a:xfrm>
                    <a:prstGeom prst="rect">
                      <a:avLst/>
                    </a:prstGeom>
                  </pic:spPr>
                </pic:pic>
              </a:graphicData>
            </a:graphic>
          </wp:inline>
        </w:drawing>
      </w:r>
      <w:r w:rsidRPr="00D11C54">
        <w:rPr>
          <w:lang w:val="fr-FR"/>
        </w:rPr>
        <w:t xml:space="preserve"> Elisabetta Sagone </w:t>
      </w:r>
      <w:r>
        <w:rPr>
          <w:noProof/>
          <w:spacing w:val="5"/>
        </w:rPr>
        <w:drawing>
          <wp:inline distT="0" distB="0" distL="0" distR="0" wp14:anchorId="49C595E2" wp14:editId="3C13D186">
            <wp:extent cx="115198" cy="115198"/>
            <wp:effectExtent l="0" t="0" r="0"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21" cstate="print"/>
                    <a:stretch>
                      <a:fillRect/>
                    </a:stretch>
                  </pic:blipFill>
                  <pic:spPr>
                    <a:xfrm>
                      <a:off x="0" y="0"/>
                      <a:ext cx="115198" cy="115198"/>
                    </a:xfrm>
                    <a:prstGeom prst="rect">
                      <a:avLst/>
                    </a:prstGeom>
                  </pic:spPr>
                </pic:pic>
              </a:graphicData>
            </a:graphic>
          </wp:inline>
        </w:drawing>
      </w:r>
      <w:r w:rsidRPr="00D11C54">
        <w:rPr>
          <w:rFonts w:ascii="Times New Roman"/>
          <w:b w:val="0"/>
          <w:spacing w:val="-6"/>
          <w:lang w:val="fr-FR"/>
        </w:rPr>
        <w:t xml:space="preserve"> </w:t>
      </w:r>
      <w:r w:rsidRPr="00623797">
        <w:t>και</w:t>
      </w:r>
      <w:r w:rsidRPr="00D11C54">
        <w:rPr>
          <w:lang w:val="fr-FR"/>
        </w:rPr>
        <w:t xml:space="preserve"> Maria Luisa Indiana</w:t>
      </w:r>
    </w:p>
    <w:p w14:paraId="7739A6C5" w14:textId="77777777" w:rsidR="00F5166D" w:rsidRPr="00623797" w:rsidRDefault="00F5166D">
      <w:pPr>
        <w:pStyle w:val="a3"/>
        <w:rPr>
          <w:b/>
          <w:sz w:val="24"/>
          <w:lang w:val="fr-FR"/>
        </w:rPr>
      </w:pPr>
    </w:p>
    <w:p w14:paraId="79BFD6B0" w14:textId="77777777" w:rsidR="00F5166D" w:rsidRPr="00D11C54" w:rsidRDefault="00623797">
      <w:pPr>
        <w:spacing w:before="175"/>
        <w:ind w:left="2727"/>
        <w:rPr>
          <w:sz w:val="16"/>
          <w:lang w:val="el-GR"/>
        </w:rPr>
      </w:pPr>
      <w:r w:rsidRPr="00D11C54">
        <w:rPr>
          <w:w w:val="105"/>
          <w:sz w:val="16"/>
          <w:lang w:val="el-GR"/>
        </w:rPr>
        <w:t>Τμήμα Επιστημών της Αγωγής, Πανεπιστήμιο της Κατάνια, 95124 Κατάνια, Ιταλία</w:t>
      </w:r>
    </w:p>
    <w:p w14:paraId="4F9C1958" w14:textId="77777777" w:rsidR="00F5166D" w:rsidRDefault="00623797">
      <w:pPr>
        <w:spacing w:before="28"/>
        <w:ind w:left="2713"/>
        <w:rPr>
          <w:sz w:val="16"/>
        </w:rPr>
      </w:pPr>
      <w:r>
        <w:rPr>
          <w:b/>
          <w:sz w:val="16"/>
        </w:rPr>
        <w:t xml:space="preserve">* </w:t>
      </w:r>
      <w:r>
        <w:rPr>
          <w:sz w:val="16"/>
        </w:rPr>
        <w:t xml:space="preserve">Αλληλογραφία: </w:t>
      </w:r>
      <w:hyperlink r:id="rId22">
        <w:r>
          <w:rPr>
            <w:sz w:val="16"/>
          </w:rPr>
          <w:t>valar</w:t>
        </w:r>
      </w:hyperlink>
      <w:hyperlink r:id="rId23">
        <w:r>
          <w:rPr>
            <w:sz w:val="16"/>
          </w:rPr>
          <w:t>osa@unict.it</w:t>
        </w:r>
      </w:hyperlink>
    </w:p>
    <w:p w14:paraId="3285251A" w14:textId="77777777" w:rsidR="00F5166D" w:rsidRDefault="00F5166D">
      <w:pPr>
        <w:pStyle w:val="a3"/>
        <w:spacing w:before="10"/>
        <w:rPr>
          <w:sz w:val="17"/>
        </w:rPr>
      </w:pPr>
    </w:p>
    <w:p w14:paraId="38ED3202" w14:textId="77777777" w:rsidR="00F5166D" w:rsidRDefault="00F5166D">
      <w:pPr>
        <w:rPr>
          <w:sz w:val="17"/>
        </w:rPr>
        <w:sectPr w:rsidR="00F5166D">
          <w:type w:val="continuous"/>
          <w:pgSz w:w="11910" w:h="16840"/>
          <w:pgMar w:top="980" w:right="580" w:bottom="0" w:left="600" w:header="720" w:footer="720" w:gutter="0"/>
          <w:cols w:space="720"/>
        </w:sectPr>
      </w:pPr>
    </w:p>
    <w:p w14:paraId="7EA44F37" w14:textId="77777777" w:rsidR="00F5166D" w:rsidRDefault="00F5166D">
      <w:pPr>
        <w:pStyle w:val="a3"/>
      </w:pPr>
    </w:p>
    <w:p w14:paraId="007FDEAE" w14:textId="77777777" w:rsidR="00F5166D" w:rsidRDefault="00F5166D">
      <w:pPr>
        <w:pStyle w:val="a3"/>
      </w:pPr>
    </w:p>
    <w:p w14:paraId="448E69B1" w14:textId="77777777" w:rsidR="00F5166D" w:rsidRDefault="00F5166D">
      <w:pPr>
        <w:pStyle w:val="a3"/>
      </w:pPr>
    </w:p>
    <w:p w14:paraId="267972C9" w14:textId="77777777" w:rsidR="00F5166D" w:rsidRDefault="00F5166D">
      <w:pPr>
        <w:pStyle w:val="a3"/>
      </w:pPr>
    </w:p>
    <w:p w14:paraId="1C3552E7" w14:textId="77777777" w:rsidR="00F5166D" w:rsidRDefault="00F5166D">
      <w:pPr>
        <w:pStyle w:val="a3"/>
      </w:pPr>
    </w:p>
    <w:p w14:paraId="44BA1F24" w14:textId="77777777" w:rsidR="00F5166D" w:rsidRDefault="00F5166D">
      <w:pPr>
        <w:pStyle w:val="a3"/>
      </w:pPr>
    </w:p>
    <w:p w14:paraId="33497CE6" w14:textId="77777777" w:rsidR="00F5166D" w:rsidRDefault="00F5166D">
      <w:pPr>
        <w:pStyle w:val="a3"/>
        <w:spacing w:before="8" w:after="1"/>
        <w:rPr>
          <w:sz w:val="15"/>
        </w:rPr>
      </w:pPr>
    </w:p>
    <w:p w14:paraId="25494EB6" w14:textId="77777777" w:rsidR="00F5166D" w:rsidRDefault="00623797">
      <w:pPr>
        <w:pStyle w:val="a3"/>
        <w:ind w:left="114"/>
      </w:pPr>
      <w:r>
        <w:rPr>
          <w:noProof/>
        </w:rPr>
        <w:drawing>
          <wp:inline distT="0" distB="0" distL="0" distR="0" wp14:anchorId="5F59D406" wp14:editId="1427DBED">
            <wp:extent cx="645520" cy="214312"/>
            <wp:effectExtent l="0" t="0" r="0"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24" cstate="print"/>
                    <a:stretch>
                      <a:fillRect/>
                    </a:stretch>
                  </pic:blipFill>
                  <pic:spPr>
                    <a:xfrm>
                      <a:off x="0" y="0"/>
                      <a:ext cx="645520" cy="214312"/>
                    </a:xfrm>
                    <a:prstGeom prst="rect">
                      <a:avLst/>
                    </a:prstGeom>
                  </pic:spPr>
                </pic:pic>
              </a:graphicData>
            </a:graphic>
          </wp:inline>
        </w:drawing>
      </w:r>
    </w:p>
    <w:p w14:paraId="085D56B7" w14:textId="77777777" w:rsidR="00F5166D" w:rsidRPr="00D11C54" w:rsidRDefault="00623797">
      <w:pPr>
        <w:spacing w:before="107" w:line="348" w:lineRule="auto"/>
        <w:ind w:left="109" w:right="258" w:firstLine="5"/>
        <w:rPr>
          <w:sz w:val="14"/>
          <w:lang w:val="el-GR"/>
        </w:rPr>
      </w:pPr>
      <w:r w:rsidRPr="00623797">
        <w:rPr>
          <w:b/>
          <w:w w:val="105"/>
          <w:sz w:val="14"/>
        </w:rPr>
        <w:t>Παραπομπή</w:t>
      </w:r>
      <w:r w:rsidRPr="00D11C54">
        <w:rPr>
          <w:b/>
          <w:w w:val="105"/>
          <w:sz w:val="14"/>
          <w:lang w:val="fr-FR"/>
        </w:rPr>
        <w:t xml:space="preserve">: </w:t>
      </w:r>
      <w:r w:rsidRPr="00D11C54">
        <w:rPr>
          <w:w w:val="105"/>
          <w:sz w:val="14"/>
          <w:lang w:val="fr-FR"/>
        </w:rPr>
        <w:t xml:space="preserve">Commodari, </w:t>
      </w:r>
      <w:r w:rsidRPr="00623797">
        <w:rPr>
          <w:w w:val="105"/>
          <w:sz w:val="14"/>
        </w:rPr>
        <w:t>Ε</w:t>
      </w:r>
      <w:r w:rsidRPr="00D11C54">
        <w:rPr>
          <w:w w:val="105"/>
          <w:sz w:val="14"/>
          <w:lang w:val="fr-FR"/>
        </w:rPr>
        <w:t xml:space="preserve">.; La Rosa, V.L.; Sagone, </w:t>
      </w:r>
      <w:r w:rsidRPr="00623797">
        <w:rPr>
          <w:w w:val="105"/>
          <w:sz w:val="14"/>
        </w:rPr>
        <w:t>Ε</w:t>
      </w:r>
      <w:r w:rsidRPr="00D11C54">
        <w:rPr>
          <w:w w:val="105"/>
          <w:sz w:val="14"/>
          <w:lang w:val="fr-FR"/>
        </w:rPr>
        <w:t xml:space="preserve">.; </w:t>
      </w:r>
      <w:r w:rsidRPr="00D11C54">
        <w:rPr>
          <w:w w:val="105"/>
          <w:sz w:val="14"/>
          <w:lang w:val="el-GR"/>
        </w:rPr>
        <w:t xml:space="preserve">Ιντιάνα, </w:t>
      </w:r>
      <w:r w:rsidRPr="00623797">
        <w:rPr>
          <w:w w:val="105"/>
          <w:sz w:val="14"/>
        </w:rPr>
        <w:t>M</w:t>
      </w:r>
      <w:r w:rsidRPr="00D11C54">
        <w:rPr>
          <w:w w:val="105"/>
          <w:sz w:val="14"/>
          <w:lang w:val="el-GR"/>
        </w:rPr>
        <w:t>.</w:t>
      </w:r>
      <w:r w:rsidRPr="00623797">
        <w:rPr>
          <w:w w:val="105"/>
          <w:sz w:val="14"/>
        </w:rPr>
        <w:t>L</w:t>
      </w:r>
      <w:r w:rsidRPr="00D11C54">
        <w:rPr>
          <w:w w:val="105"/>
          <w:sz w:val="14"/>
          <w:lang w:val="el-GR"/>
        </w:rPr>
        <w:t>. Διαπροσωπική προσαρμογή,</w:t>
      </w:r>
    </w:p>
    <w:p w14:paraId="7FD45F9A" w14:textId="77777777" w:rsidR="00F5166D" w:rsidRPr="00D11C54" w:rsidRDefault="00623797">
      <w:pPr>
        <w:spacing w:before="1" w:line="348" w:lineRule="auto"/>
        <w:ind w:left="114" w:right="362"/>
        <w:rPr>
          <w:sz w:val="14"/>
          <w:lang w:val="el-GR"/>
        </w:rPr>
      </w:pPr>
      <w:r w:rsidRPr="00D11C54">
        <w:rPr>
          <w:w w:val="105"/>
          <w:sz w:val="14"/>
          <w:lang w:val="el-GR"/>
        </w:rPr>
        <w:t>Αυτο-αποτελεσματικότητα και μεταγνωστικές δεξιότητες σε Ιταλούς εφήβους με ειδικές μαθησιακές διαταραχές: Α</w:t>
      </w:r>
    </w:p>
    <w:p w14:paraId="11648ED5" w14:textId="77777777" w:rsidR="00F5166D" w:rsidRPr="00D11C54" w:rsidRDefault="00623797">
      <w:pPr>
        <w:spacing w:line="176" w:lineRule="exact"/>
        <w:ind w:left="114"/>
        <w:rPr>
          <w:rFonts w:ascii="Palatino Linotype"/>
          <w:i/>
          <w:sz w:val="14"/>
          <w:lang w:val="el-GR"/>
        </w:rPr>
      </w:pPr>
      <w:r w:rsidRPr="00D11C54">
        <w:rPr>
          <w:spacing w:val="-2"/>
          <w:w w:val="105"/>
          <w:sz w:val="14"/>
          <w:lang w:val="el-GR"/>
        </w:rPr>
        <w:t xml:space="preserve">Συγχρονική μελέτη. </w:t>
      </w:r>
      <w:r>
        <w:rPr>
          <w:rFonts w:ascii="Palatino Linotype"/>
          <w:i/>
          <w:spacing w:val="-1"/>
          <w:w w:val="105"/>
          <w:sz w:val="14"/>
        </w:rPr>
        <w:t>Eur</w:t>
      </w:r>
      <w:r w:rsidRPr="00D11C54">
        <w:rPr>
          <w:rFonts w:ascii="Palatino Linotype"/>
          <w:i/>
          <w:spacing w:val="-1"/>
          <w:w w:val="105"/>
          <w:sz w:val="14"/>
          <w:lang w:val="el-GR"/>
        </w:rPr>
        <w:t xml:space="preserve">. </w:t>
      </w:r>
      <w:r>
        <w:rPr>
          <w:rFonts w:ascii="Palatino Linotype"/>
          <w:i/>
          <w:spacing w:val="-1"/>
          <w:w w:val="105"/>
          <w:sz w:val="14"/>
        </w:rPr>
        <w:t>J</w:t>
      </w:r>
      <w:r w:rsidRPr="00D11C54">
        <w:rPr>
          <w:rFonts w:ascii="Palatino Linotype"/>
          <w:i/>
          <w:spacing w:val="-1"/>
          <w:w w:val="105"/>
          <w:sz w:val="14"/>
          <w:lang w:val="el-GR"/>
        </w:rPr>
        <w:t xml:space="preserve">. </w:t>
      </w:r>
      <w:r>
        <w:rPr>
          <w:rFonts w:ascii="Palatino Linotype"/>
          <w:i/>
          <w:spacing w:val="-1"/>
          <w:w w:val="105"/>
          <w:sz w:val="14"/>
        </w:rPr>
        <w:t>Investig</w:t>
      </w:r>
      <w:r w:rsidRPr="00D11C54">
        <w:rPr>
          <w:rFonts w:ascii="Palatino Linotype"/>
          <w:i/>
          <w:spacing w:val="-1"/>
          <w:w w:val="105"/>
          <w:sz w:val="14"/>
          <w:lang w:val="el-GR"/>
        </w:rPr>
        <w:t>.</w:t>
      </w:r>
    </w:p>
    <w:p w14:paraId="59C84CD5" w14:textId="77777777" w:rsidR="00F5166D" w:rsidRPr="00D11C54" w:rsidRDefault="00623797">
      <w:pPr>
        <w:spacing w:before="50"/>
        <w:ind w:left="108"/>
        <w:rPr>
          <w:sz w:val="14"/>
          <w:lang w:val="fr-FR"/>
        </w:rPr>
      </w:pPr>
      <w:r>
        <w:rPr>
          <w:rFonts w:ascii="Palatino Linotype"/>
          <w:i/>
          <w:spacing w:val="-1"/>
          <w:sz w:val="14"/>
        </w:rPr>
        <w:t>Υγεία</w:t>
      </w:r>
      <w:r w:rsidRPr="00D11C54">
        <w:rPr>
          <w:rFonts w:ascii="Palatino Linotype"/>
          <w:i/>
          <w:spacing w:val="-1"/>
          <w:sz w:val="14"/>
          <w:lang w:val="fr-FR"/>
        </w:rPr>
        <w:t xml:space="preserve"> Psychol. Educ. </w:t>
      </w:r>
      <w:r w:rsidRPr="00D11C54">
        <w:rPr>
          <w:b/>
          <w:sz w:val="14"/>
          <w:lang w:val="fr-FR"/>
        </w:rPr>
        <w:t>2022</w:t>
      </w:r>
      <w:r w:rsidRPr="00D11C54">
        <w:rPr>
          <w:sz w:val="14"/>
          <w:lang w:val="fr-FR"/>
        </w:rPr>
        <w:t xml:space="preserve">, </w:t>
      </w:r>
      <w:r w:rsidRPr="00D11C54">
        <w:rPr>
          <w:rFonts w:ascii="Palatino Linotype"/>
          <w:i/>
          <w:sz w:val="14"/>
          <w:lang w:val="fr-FR"/>
        </w:rPr>
        <w:t>12</w:t>
      </w:r>
      <w:r w:rsidRPr="00D11C54">
        <w:rPr>
          <w:sz w:val="14"/>
          <w:lang w:val="fr-FR"/>
        </w:rPr>
        <w:t>,</w:t>
      </w:r>
    </w:p>
    <w:p w14:paraId="74385DD8" w14:textId="77777777" w:rsidR="00F5166D" w:rsidRPr="00D11C54" w:rsidRDefault="00623797">
      <w:pPr>
        <w:spacing w:before="64" w:line="348" w:lineRule="auto"/>
        <w:ind w:left="107" w:right="362"/>
        <w:rPr>
          <w:sz w:val="14"/>
          <w:lang w:val="fr-FR"/>
        </w:rPr>
      </w:pPr>
      <w:r w:rsidRPr="00D11C54">
        <w:rPr>
          <w:sz w:val="14"/>
          <w:lang w:val="fr-FR"/>
        </w:rPr>
        <w:t xml:space="preserve">1034–1049. </w:t>
      </w:r>
      <w:hyperlink r:id="rId25">
        <w:r w:rsidRPr="00D11C54">
          <w:rPr>
            <w:sz w:val="14"/>
            <w:lang w:val="fr-FR"/>
          </w:rPr>
          <w:t xml:space="preserve">https://doi.org/ </w:t>
        </w:r>
      </w:hyperlink>
      <w:r w:rsidRPr="00D11C54">
        <w:rPr>
          <w:spacing w:val="-28"/>
          <w:sz w:val="14"/>
          <w:lang w:val="fr-FR"/>
        </w:rPr>
        <w:t xml:space="preserve"> </w:t>
      </w:r>
      <w:hyperlink r:id="rId26">
        <w:r w:rsidRPr="00D11C54">
          <w:rPr>
            <w:sz w:val="14"/>
            <w:lang w:val="fr-FR"/>
          </w:rPr>
          <w:t>10.3390/ejihpe12080074</w:t>
        </w:r>
      </w:hyperlink>
    </w:p>
    <w:p w14:paraId="317518D6" w14:textId="77777777" w:rsidR="00F5166D" w:rsidRPr="00D11C54" w:rsidRDefault="00623797">
      <w:pPr>
        <w:spacing w:before="120" w:line="307" w:lineRule="auto"/>
        <w:ind w:left="114" w:right="258"/>
        <w:rPr>
          <w:sz w:val="14"/>
          <w:lang w:val="fr-FR"/>
        </w:rPr>
      </w:pPr>
      <w:r>
        <w:rPr>
          <w:w w:val="105"/>
          <w:sz w:val="14"/>
        </w:rPr>
        <w:t>Ακαδημαϊκοί</w:t>
      </w:r>
      <w:r w:rsidRPr="00D11C54">
        <w:rPr>
          <w:w w:val="105"/>
          <w:sz w:val="14"/>
          <w:lang w:val="fr-FR"/>
        </w:rPr>
        <w:t xml:space="preserve"> </w:t>
      </w:r>
      <w:r>
        <w:rPr>
          <w:w w:val="105"/>
          <w:sz w:val="14"/>
        </w:rPr>
        <w:t>συντάκτες</w:t>
      </w:r>
      <w:r w:rsidRPr="00D11C54">
        <w:rPr>
          <w:w w:val="105"/>
          <w:sz w:val="14"/>
          <w:lang w:val="fr-FR"/>
        </w:rPr>
        <w:t xml:space="preserve">: Francisco Manuel Morales Rodríguez, Inmaculada Méndez Mateo, Juan Pedro Martínez-Ramón, Cecilia Ruiz Esteban </w:t>
      </w:r>
      <w:r>
        <w:rPr>
          <w:w w:val="105"/>
          <w:sz w:val="14"/>
        </w:rPr>
        <w:t>και</w:t>
      </w:r>
      <w:r w:rsidRPr="00D11C54">
        <w:rPr>
          <w:w w:val="105"/>
          <w:sz w:val="14"/>
          <w:lang w:val="fr-FR"/>
        </w:rPr>
        <w:t xml:space="preserve"> Ana Belén Barragán Martín</w:t>
      </w:r>
    </w:p>
    <w:p w14:paraId="74469CD6" w14:textId="77777777" w:rsidR="00F5166D" w:rsidRPr="00D11C54" w:rsidRDefault="00F5166D">
      <w:pPr>
        <w:pStyle w:val="a3"/>
        <w:spacing w:before="11"/>
        <w:rPr>
          <w:sz w:val="12"/>
          <w:lang w:val="fr-FR"/>
        </w:rPr>
      </w:pPr>
    </w:p>
    <w:p w14:paraId="53FBA870" w14:textId="77777777" w:rsidR="00F5166D" w:rsidRPr="00D11C54" w:rsidRDefault="00623797">
      <w:pPr>
        <w:ind w:left="114"/>
        <w:rPr>
          <w:sz w:val="14"/>
          <w:lang w:val="el-GR"/>
        </w:rPr>
      </w:pPr>
      <w:r w:rsidRPr="00D11C54">
        <w:rPr>
          <w:sz w:val="14"/>
          <w:lang w:val="el-GR"/>
        </w:rPr>
        <w:t>Ελήφθη: 22 Απριλίου 2022</w:t>
      </w:r>
    </w:p>
    <w:p w14:paraId="7879C3B3" w14:textId="77777777" w:rsidR="00F5166D" w:rsidRPr="00D11C54" w:rsidRDefault="00623797">
      <w:pPr>
        <w:spacing w:before="75"/>
        <w:ind w:left="108"/>
        <w:rPr>
          <w:sz w:val="14"/>
          <w:lang w:val="el-GR"/>
        </w:rPr>
      </w:pPr>
      <w:r w:rsidRPr="00D11C54">
        <w:rPr>
          <w:sz w:val="14"/>
          <w:lang w:val="el-GR"/>
        </w:rPr>
        <w:t>Αποδεκτή: 8 Αυγούστου 2022</w:t>
      </w:r>
    </w:p>
    <w:p w14:paraId="7255A342" w14:textId="77777777" w:rsidR="00F5166D" w:rsidRPr="00D11C54" w:rsidRDefault="00623797">
      <w:pPr>
        <w:spacing w:before="74"/>
        <w:ind w:left="114"/>
        <w:rPr>
          <w:sz w:val="14"/>
          <w:lang w:val="el-GR"/>
        </w:rPr>
      </w:pPr>
      <w:r w:rsidRPr="00D11C54">
        <w:rPr>
          <w:sz w:val="14"/>
          <w:lang w:val="el-GR"/>
        </w:rPr>
        <w:t>Δημοσιεύθηκε: Αύγουστος 10 2022</w:t>
      </w:r>
    </w:p>
    <w:p w14:paraId="5A651748" w14:textId="77777777" w:rsidR="00F5166D" w:rsidRPr="00D11C54" w:rsidRDefault="00F5166D">
      <w:pPr>
        <w:pStyle w:val="a3"/>
        <w:spacing w:before="6"/>
        <w:rPr>
          <w:sz w:val="16"/>
          <w:lang w:val="el-GR"/>
        </w:rPr>
      </w:pPr>
    </w:p>
    <w:p w14:paraId="733B0C2E" w14:textId="77777777" w:rsidR="00F5166D" w:rsidRPr="00D11C54" w:rsidRDefault="00623797">
      <w:pPr>
        <w:spacing w:line="348" w:lineRule="auto"/>
        <w:ind w:left="108" w:right="40" w:firstLine="5"/>
        <w:jc w:val="both"/>
        <w:rPr>
          <w:sz w:val="14"/>
          <w:lang w:val="el-GR"/>
        </w:rPr>
      </w:pPr>
      <w:r w:rsidRPr="00D11C54">
        <w:rPr>
          <w:b/>
          <w:sz w:val="14"/>
          <w:lang w:val="el-GR"/>
        </w:rPr>
        <w:t xml:space="preserve">Σημείωση του εκδότη: Το </w:t>
      </w:r>
      <w:r>
        <w:rPr>
          <w:sz w:val="14"/>
        </w:rPr>
        <w:t>MDPI</w:t>
      </w:r>
      <w:r w:rsidRPr="00D11C54">
        <w:rPr>
          <w:sz w:val="14"/>
          <w:lang w:val="el-GR"/>
        </w:rPr>
        <w:t xml:space="preserve"> παραμένει ουδέτερο </w:t>
      </w:r>
      <w:r w:rsidRPr="00D11C54">
        <w:rPr>
          <w:w w:val="105"/>
          <w:sz w:val="14"/>
          <w:lang w:val="el-GR"/>
        </w:rPr>
        <w:t>όσον αφορά τις αξιώσεις δικαιοδοσίας σε δημοσιευμένους χάρτες και θεσμικούς δεσμούς.</w:t>
      </w:r>
    </w:p>
    <w:p w14:paraId="3B4F378C" w14:textId="77777777" w:rsidR="00F5166D" w:rsidRPr="00D11C54" w:rsidRDefault="00623797">
      <w:pPr>
        <w:pStyle w:val="a3"/>
        <w:spacing w:before="7"/>
        <w:rPr>
          <w:sz w:val="13"/>
          <w:lang w:val="el-GR"/>
        </w:rPr>
      </w:pPr>
      <w:r>
        <w:rPr>
          <w:noProof/>
        </w:rPr>
        <w:drawing>
          <wp:anchor distT="0" distB="0" distL="0" distR="0" simplePos="0" relativeHeight="2" behindDoc="0" locked="0" layoutInCell="1" allowOverlap="1" wp14:anchorId="582CBC3B" wp14:editId="473E18EC">
            <wp:simplePos x="0" y="0"/>
            <wp:positionH relativeFrom="page">
              <wp:posOffset>453593</wp:posOffset>
            </wp:positionH>
            <wp:positionV relativeFrom="paragraph">
              <wp:posOffset>126417</wp:posOffset>
            </wp:positionV>
            <wp:extent cx="714375" cy="250031"/>
            <wp:effectExtent l="0" t="0" r="0" b="0"/>
            <wp:wrapTopAndBottom/>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27" cstate="print"/>
                    <a:stretch>
                      <a:fillRect/>
                    </a:stretch>
                  </pic:blipFill>
                  <pic:spPr>
                    <a:xfrm>
                      <a:off x="0" y="0"/>
                      <a:ext cx="714375" cy="250031"/>
                    </a:xfrm>
                    <a:prstGeom prst="rect">
                      <a:avLst/>
                    </a:prstGeom>
                  </pic:spPr>
                </pic:pic>
              </a:graphicData>
            </a:graphic>
          </wp:anchor>
        </w:drawing>
      </w:r>
    </w:p>
    <w:p w14:paraId="6912D2FE" w14:textId="77777777" w:rsidR="00F5166D" w:rsidRPr="00D11C54" w:rsidRDefault="00623797">
      <w:pPr>
        <w:spacing w:before="79" w:line="348" w:lineRule="auto"/>
        <w:ind w:left="108" w:right="37" w:firstLine="5"/>
        <w:rPr>
          <w:sz w:val="14"/>
          <w:lang w:val="el-GR"/>
        </w:rPr>
      </w:pPr>
      <w:r w:rsidRPr="00D11C54">
        <w:rPr>
          <w:b/>
          <w:w w:val="105"/>
          <w:sz w:val="14"/>
          <w:lang w:val="el-GR"/>
        </w:rPr>
        <w:t xml:space="preserve">Πνευματικά δικαιώματα: </w:t>
      </w:r>
      <w:r w:rsidRPr="00D11C54">
        <w:rPr>
          <w:w w:val="105"/>
          <w:sz w:val="14"/>
          <w:lang w:val="el-GR"/>
        </w:rPr>
        <w:t xml:space="preserve">© 2022 από τους συγγραφείς. Κάτοχος άδειας </w:t>
      </w:r>
      <w:r>
        <w:rPr>
          <w:w w:val="105"/>
          <w:sz w:val="14"/>
        </w:rPr>
        <w:t>MDPI</w:t>
      </w:r>
      <w:r w:rsidRPr="00D11C54">
        <w:rPr>
          <w:w w:val="105"/>
          <w:sz w:val="14"/>
          <w:lang w:val="el-GR"/>
        </w:rPr>
        <w:t xml:space="preserve">, Βασιλεία, Ελβετία. Αυτό το άρθρο είναι ένα άρθρο ανοικτής πρόσβασης που διανέμεται υπό τους όρους και τις προϋποθέσεις της άδειας </w:t>
      </w:r>
      <w:r>
        <w:rPr>
          <w:w w:val="105"/>
          <w:sz w:val="14"/>
        </w:rPr>
        <w:t>Creative</w:t>
      </w:r>
      <w:r w:rsidRPr="00D11C54">
        <w:rPr>
          <w:w w:val="105"/>
          <w:sz w:val="14"/>
          <w:lang w:val="el-GR"/>
        </w:rPr>
        <w:t xml:space="preserve"> </w:t>
      </w:r>
      <w:r>
        <w:rPr>
          <w:w w:val="105"/>
          <w:sz w:val="14"/>
        </w:rPr>
        <w:t>Commons</w:t>
      </w:r>
      <w:r w:rsidRPr="00D11C54">
        <w:rPr>
          <w:w w:val="105"/>
          <w:sz w:val="14"/>
          <w:lang w:val="el-GR"/>
        </w:rPr>
        <w:t xml:space="preserve"> </w:t>
      </w:r>
      <w:r>
        <w:rPr>
          <w:w w:val="105"/>
          <w:sz w:val="14"/>
        </w:rPr>
        <w:t>Attribution</w:t>
      </w:r>
      <w:r w:rsidRPr="00D11C54">
        <w:rPr>
          <w:w w:val="105"/>
          <w:sz w:val="14"/>
          <w:lang w:val="el-GR"/>
        </w:rPr>
        <w:t xml:space="preserve"> (</w:t>
      </w:r>
      <w:r>
        <w:rPr>
          <w:w w:val="105"/>
          <w:sz w:val="14"/>
        </w:rPr>
        <w:t>CC</w:t>
      </w:r>
      <w:r w:rsidRPr="00D11C54">
        <w:rPr>
          <w:w w:val="105"/>
          <w:sz w:val="14"/>
          <w:lang w:val="el-GR"/>
        </w:rPr>
        <w:t xml:space="preserve"> </w:t>
      </w:r>
      <w:r>
        <w:rPr>
          <w:w w:val="105"/>
          <w:sz w:val="14"/>
        </w:rPr>
        <w:t>BY</w:t>
      </w:r>
      <w:r w:rsidRPr="00D11C54">
        <w:rPr>
          <w:w w:val="105"/>
          <w:sz w:val="14"/>
          <w:lang w:val="el-GR"/>
        </w:rPr>
        <w:t>) (</w:t>
      </w:r>
      <w:hyperlink r:id="rId28">
        <w:r>
          <w:rPr>
            <w:w w:val="105"/>
            <w:sz w:val="14"/>
          </w:rPr>
          <w:t>https</w:t>
        </w:r>
        <w:r w:rsidRPr="00D11C54">
          <w:rPr>
            <w:w w:val="105"/>
            <w:sz w:val="14"/>
            <w:lang w:val="el-GR"/>
          </w:rPr>
          <w:t xml:space="preserve">:// </w:t>
        </w:r>
      </w:hyperlink>
      <w:r w:rsidRPr="00D11C54">
        <w:rPr>
          <w:spacing w:val="-29"/>
          <w:w w:val="105"/>
          <w:sz w:val="14"/>
          <w:lang w:val="el-GR"/>
        </w:rPr>
        <w:t xml:space="preserve"> </w:t>
      </w:r>
      <w:hyperlink r:id="rId29">
        <w:r>
          <w:rPr>
            <w:w w:val="105"/>
            <w:sz w:val="14"/>
          </w:rPr>
          <w:t>creativecommons</w:t>
        </w:r>
        <w:r w:rsidRPr="00D11C54">
          <w:rPr>
            <w:w w:val="105"/>
            <w:sz w:val="14"/>
            <w:lang w:val="el-GR"/>
          </w:rPr>
          <w:t>.</w:t>
        </w:r>
        <w:r>
          <w:rPr>
            <w:w w:val="105"/>
            <w:sz w:val="14"/>
          </w:rPr>
          <w:t>org</w:t>
        </w:r>
        <w:r w:rsidRPr="00D11C54">
          <w:rPr>
            <w:w w:val="105"/>
            <w:sz w:val="14"/>
            <w:lang w:val="el-GR"/>
          </w:rPr>
          <w:t>/</w:t>
        </w:r>
        <w:r>
          <w:rPr>
            <w:w w:val="105"/>
            <w:sz w:val="14"/>
          </w:rPr>
          <w:t>licenses</w:t>
        </w:r>
        <w:r w:rsidRPr="00D11C54">
          <w:rPr>
            <w:w w:val="105"/>
            <w:sz w:val="14"/>
            <w:lang w:val="el-GR"/>
          </w:rPr>
          <w:t>/</w:t>
        </w:r>
        <w:r>
          <w:rPr>
            <w:w w:val="105"/>
            <w:sz w:val="14"/>
          </w:rPr>
          <w:t>by</w:t>
        </w:r>
        <w:r w:rsidRPr="00D11C54">
          <w:rPr>
            <w:w w:val="105"/>
            <w:sz w:val="14"/>
            <w:lang w:val="el-GR"/>
          </w:rPr>
          <w:t>/</w:t>
        </w:r>
      </w:hyperlink>
      <w:r w:rsidRPr="00D11C54">
        <w:rPr>
          <w:spacing w:val="1"/>
          <w:w w:val="105"/>
          <w:sz w:val="14"/>
          <w:lang w:val="el-GR"/>
        </w:rPr>
        <w:t xml:space="preserve"> 4.0/).</w:t>
      </w:r>
    </w:p>
    <w:p w14:paraId="12355203" w14:textId="77777777" w:rsidR="00F5166D" w:rsidRPr="00D11C54" w:rsidRDefault="00623797">
      <w:pPr>
        <w:spacing w:before="99" w:line="295" w:lineRule="auto"/>
        <w:ind w:left="107" w:right="108"/>
        <w:jc w:val="both"/>
        <w:rPr>
          <w:sz w:val="18"/>
          <w:lang w:val="el-GR"/>
        </w:rPr>
      </w:pPr>
      <w:r w:rsidRPr="00D11C54">
        <w:rPr>
          <w:lang w:val="el-GR"/>
        </w:rPr>
        <w:br w:type="column"/>
      </w:r>
      <w:r w:rsidRPr="00D11C54">
        <w:rPr>
          <w:b/>
          <w:w w:val="105"/>
          <w:sz w:val="18"/>
          <w:lang w:val="el-GR"/>
        </w:rPr>
        <w:t xml:space="preserve">Περίληψη: Αυτή </w:t>
      </w:r>
      <w:r w:rsidRPr="00D11C54">
        <w:rPr>
          <w:w w:val="105"/>
          <w:sz w:val="18"/>
          <w:lang w:val="el-GR"/>
        </w:rPr>
        <w:t xml:space="preserve">η μελέτη είχε ως στόχο να διερευνήσει τη διαπροσωπική προσαρμογή, τη γενικευμένη αυτο-αποτελεσματικότητα και τις μεταγνωστικές δεξιότητες σε ένα δείγμα Ιταλών εφήβων με και χωρίς συγκεκριμένη μαθησιακή διαταραχή </w:t>
      </w:r>
      <w:r w:rsidRPr="00D11C54">
        <w:rPr>
          <w:sz w:val="18"/>
          <w:lang w:val="el-GR"/>
        </w:rPr>
        <w:t>(</w:t>
      </w:r>
      <w:r>
        <w:rPr>
          <w:sz w:val="18"/>
        </w:rPr>
        <w:t>SLD</w:t>
      </w:r>
      <w:r w:rsidRPr="00D11C54">
        <w:rPr>
          <w:sz w:val="18"/>
          <w:lang w:val="el-GR"/>
        </w:rPr>
        <w:t xml:space="preserve">). Συνολικά 564 μαθητές δευτεροβάθμιας και δευτεροβάθμιας εκπαίδευσης (άνδρες = 236, γυναίκες = 328, εύρος ηλικιών: 11–19, </w:t>
      </w:r>
      <w:r>
        <w:rPr>
          <w:w w:val="105"/>
          <w:sz w:val="18"/>
        </w:rPr>
        <w:t>M</w:t>
      </w:r>
      <w:r w:rsidRPr="00D11C54">
        <w:rPr>
          <w:w w:val="105"/>
          <w:sz w:val="18"/>
          <w:lang w:val="el-GR"/>
        </w:rPr>
        <w:t xml:space="preserve"> = 16,14, </w:t>
      </w:r>
      <w:r>
        <w:rPr>
          <w:w w:val="105"/>
          <w:sz w:val="18"/>
        </w:rPr>
        <w:t>SD</w:t>
      </w:r>
      <w:r w:rsidRPr="00D11C54">
        <w:rPr>
          <w:w w:val="105"/>
          <w:sz w:val="18"/>
          <w:lang w:val="el-GR"/>
        </w:rPr>
        <w:t xml:space="preserve"> = 1,70) ολοκλήρωσε ένα σύνολο τυποποιημένων τεστ αξιολόγησης κοινωνικών και διαπροσωπικών δεξιοτήτων (μη επιβεβαίωση, παρορμητικότητα, ναρκισσισμός, κοινωνική ανησυχία και άγχος σε κοινωνικές καταστάσεις), γενική αυτο-αποτελεσματικότητα και μεταγνώση. Οι μαθητές με </w:t>
      </w:r>
      <w:r>
        <w:rPr>
          <w:w w:val="105"/>
          <w:sz w:val="18"/>
        </w:rPr>
        <w:t>SLD</w:t>
      </w:r>
      <w:r w:rsidRPr="00D11C54">
        <w:rPr>
          <w:w w:val="105"/>
          <w:sz w:val="18"/>
          <w:lang w:val="el-GR"/>
        </w:rPr>
        <w:t xml:space="preserve"> ανέφεραν χαμηλότερη διαπροσωπική προσαρμογή από τους μαθητές χωρίς </w:t>
      </w:r>
      <w:r>
        <w:rPr>
          <w:w w:val="105"/>
          <w:sz w:val="18"/>
        </w:rPr>
        <w:t>SLD</w:t>
      </w:r>
      <w:r w:rsidRPr="00D11C54">
        <w:rPr>
          <w:w w:val="105"/>
          <w:sz w:val="18"/>
          <w:lang w:val="el-GR"/>
        </w:rPr>
        <w:t xml:space="preserve">. Επιπλέον, οι μαθητές με </w:t>
      </w:r>
      <w:r>
        <w:rPr>
          <w:w w:val="105"/>
          <w:sz w:val="18"/>
        </w:rPr>
        <w:t>SLD</w:t>
      </w:r>
      <w:r w:rsidRPr="00D11C54">
        <w:rPr>
          <w:w w:val="105"/>
          <w:sz w:val="18"/>
          <w:lang w:val="el-GR"/>
        </w:rPr>
        <w:t xml:space="preserve"> ήταν πιο παρορμητικοί και είχαν </w:t>
      </w:r>
      <w:r w:rsidRPr="00D11C54">
        <w:rPr>
          <w:sz w:val="18"/>
          <w:lang w:val="el-GR"/>
        </w:rPr>
        <w:t xml:space="preserve">περισσότερα προβλήματα χειρισμού κοινωνικών καταστάσεων. Ανέφεραν επίσης χαμηλότερα επίπεδα αυτο-αποτελεσματικότητας αλλά υψηλότερες </w:t>
      </w:r>
      <w:r w:rsidRPr="00D11C54">
        <w:rPr>
          <w:w w:val="105"/>
          <w:sz w:val="18"/>
          <w:lang w:val="el-GR"/>
        </w:rPr>
        <w:t xml:space="preserve">βαθμολογίες μεταγνώσης από τους συνομηλίκους χωρίς </w:t>
      </w:r>
      <w:r>
        <w:rPr>
          <w:w w:val="105"/>
          <w:sz w:val="18"/>
        </w:rPr>
        <w:t>SLD</w:t>
      </w:r>
      <w:r w:rsidRPr="00D11C54">
        <w:rPr>
          <w:w w:val="105"/>
          <w:sz w:val="18"/>
          <w:lang w:val="el-GR"/>
        </w:rPr>
        <w:t xml:space="preserve">. Η χρήση αντισταθμιστικών εργαλείων συσχετίστηκε με καλύτερες διαπροσωπικές δεξιότητες και υψηλότερα επίπεδα αυτο-αποτελεσματικότητας σε μαθητές με </w:t>
      </w:r>
      <w:r>
        <w:rPr>
          <w:w w:val="105"/>
          <w:sz w:val="18"/>
        </w:rPr>
        <w:t>SLD</w:t>
      </w:r>
      <w:r w:rsidRPr="00D11C54">
        <w:rPr>
          <w:w w:val="105"/>
          <w:sz w:val="18"/>
          <w:lang w:val="el-GR"/>
        </w:rPr>
        <w:t xml:space="preserve">. Τέλος, η χρήση αυτών των εργαλείων είναι προγνωστική για υψηλά επίπεδα μεταγνωστικών δεξιοτήτων σε εφήβους με </w:t>
      </w:r>
      <w:r>
        <w:rPr>
          <w:w w:val="105"/>
          <w:sz w:val="18"/>
        </w:rPr>
        <w:t>SLD</w:t>
      </w:r>
      <w:r w:rsidRPr="00D11C54">
        <w:rPr>
          <w:w w:val="105"/>
          <w:sz w:val="18"/>
          <w:lang w:val="el-GR"/>
        </w:rPr>
        <w:t xml:space="preserve">. Σύμφωνα με την προηγούμενη βιβλιογραφία, αυτή η μελέτη έδειξε την παρουσία ενός χάσματος μεταξύ των εφήβων με </w:t>
      </w:r>
      <w:r w:rsidRPr="00D11C54">
        <w:rPr>
          <w:sz w:val="18"/>
          <w:lang w:val="el-GR"/>
        </w:rPr>
        <w:t xml:space="preserve"> και χωρίς </w:t>
      </w:r>
      <w:r>
        <w:rPr>
          <w:sz w:val="18"/>
        </w:rPr>
        <w:t>SLD</w:t>
      </w:r>
      <w:r w:rsidRPr="00D11C54">
        <w:rPr>
          <w:sz w:val="18"/>
          <w:lang w:val="el-GR"/>
        </w:rPr>
        <w:t xml:space="preserve"> όσον αφορά τη διαπροσωπική προσαρμογή, τη γενική αυτο-αποτελεσματικότητα και τις μεταγνωστικές δεξιότητες στο </w:t>
      </w:r>
      <w:r w:rsidRPr="00D11C54">
        <w:rPr>
          <w:w w:val="105"/>
          <w:sz w:val="18"/>
          <w:lang w:val="el-GR"/>
        </w:rPr>
        <w:t>σχολικό πλαίσιο. Απαιτούνται περαιτέρω μελέτες σχετικά με την ψυχολογική ευημερία των εφήβων με ΣΜΛ και ιδιαίτερα σχετικά με τον προστατευτικό ρόλο των προσωπικών, κοινωνικών και περιβαλλοντικών χαρακτηριστικών.</w:t>
      </w:r>
    </w:p>
    <w:p w14:paraId="2297FA9C" w14:textId="77777777" w:rsidR="00F5166D" w:rsidRPr="00D11C54" w:rsidRDefault="00F5166D">
      <w:pPr>
        <w:pStyle w:val="a3"/>
        <w:spacing w:before="2"/>
        <w:rPr>
          <w:lang w:val="el-GR"/>
        </w:rPr>
      </w:pPr>
    </w:p>
    <w:p w14:paraId="3B75EB05" w14:textId="77777777" w:rsidR="00F5166D" w:rsidRPr="00D11C54" w:rsidRDefault="00623797">
      <w:pPr>
        <w:ind w:left="114"/>
        <w:jc w:val="both"/>
        <w:rPr>
          <w:sz w:val="18"/>
          <w:lang w:val="el-GR"/>
        </w:rPr>
      </w:pPr>
      <w:r w:rsidRPr="00D11C54">
        <w:rPr>
          <w:b/>
          <w:spacing w:val="-2"/>
          <w:sz w:val="18"/>
          <w:lang w:val="el-GR"/>
        </w:rPr>
        <w:t xml:space="preserve">Λέξεις κλειδιά: </w:t>
      </w:r>
      <w:r w:rsidRPr="00D11C54">
        <w:rPr>
          <w:spacing w:val="-2"/>
          <w:sz w:val="18"/>
          <w:lang w:val="el-GR"/>
        </w:rPr>
        <w:t>ειδική μαθησιακή διαταραχή, διαπροσωπική προσαρμογή, αυτοαποτελεσματικότητα, μεταγνώση, εφηβεία</w:t>
      </w:r>
    </w:p>
    <w:p w14:paraId="35C5E912" w14:textId="50BF18AB" w:rsidR="00F5166D" w:rsidRPr="00D11C54" w:rsidRDefault="00D11C54">
      <w:pPr>
        <w:pStyle w:val="a3"/>
        <w:spacing w:before="9"/>
        <w:rPr>
          <w:sz w:val="24"/>
          <w:lang w:val="el-GR"/>
        </w:rPr>
      </w:pPr>
      <w:r>
        <w:rPr>
          <w:noProof/>
        </w:rPr>
        <mc:AlternateContent>
          <mc:Choice Requires="wps">
            <w:drawing>
              <wp:anchor distT="0" distB="0" distL="0" distR="0" simplePos="0" relativeHeight="487589376" behindDoc="1" locked="0" layoutInCell="1" allowOverlap="1" wp14:anchorId="344EE862" wp14:editId="46414349">
                <wp:simplePos x="0" y="0"/>
                <wp:positionH relativeFrom="page">
                  <wp:posOffset>2113280</wp:posOffset>
                </wp:positionH>
                <wp:positionV relativeFrom="paragraph">
                  <wp:posOffset>212090</wp:posOffset>
                </wp:positionV>
                <wp:extent cx="4989830" cy="1270"/>
                <wp:effectExtent l="0" t="0" r="0" b="0"/>
                <wp:wrapTopAndBottom/>
                <wp:docPr id="50050358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9830" cy="1270"/>
                        </a:xfrm>
                        <a:custGeom>
                          <a:avLst/>
                          <a:gdLst>
                            <a:gd name="T0" fmla="+- 0 3328 3328"/>
                            <a:gd name="T1" fmla="*/ T0 w 7858"/>
                            <a:gd name="T2" fmla="+- 0 11186 3328"/>
                            <a:gd name="T3" fmla="*/ T2 w 7858"/>
                          </a:gdLst>
                          <a:ahLst/>
                          <a:cxnLst>
                            <a:cxn ang="0">
                              <a:pos x="T1" y="0"/>
                            </a:cxn>
                            <a:cxn ang="0">
                              <a:pos x="T3" y="0"/>
                            </a:cxn>
                          </a:cxnLst>
                          <a:rect l="0" t="0" r="r" b="b"/>
                          <a:pathLst>
                            <a:path w="7858">
                              <a:moveTo>
                                <a:pt x="0" y="0"/>
                              </a:moveTo>
                              <a:lnTo>
                                <a:pt x="7858"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8B9E" id="Freeform 10" o:spid="_x0000_s1026" style="position:absolute;margin-left:166.4pt;margin-top:16.7pt;width:392.9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" path="m,l7858,e" filled="f" strokeweight=".14042mm">
                <v:path arrowok="t" o:connecttype="custom" o:connectlocs="0,0;4989830,0" o:connectangles="0,0"/>
                <w10:wrap type="topAndBottom" anchorx="page"/>
              </v:shape>
            </w:pict>
          </mc:Fallback>
        </mc:AlternateContent>
      </w:r>
    </w:p>
    <w:p w14:paraId="048B319B" w14:textId="77777777" w:rsidR="00F5166D" w:rsidRPr="00D11C54" w:rsidRDefault="00F5166D">
      <w:pPr>
        <w:pStyle w:val="a3"/>
        <w:rPr>
          <w:sz w:val="22"/>
          <w:lang w:val="el-GR"/>
        </w:rPr>
      </w:pPr>
    </w:p>
    <w:p w14:paraId="6AFAC785" w14:textId="77777777" w:rsidR="00F5166D" w:rsidRDefault="00623797">
      <w:pPr>
        <w:pStyle w:val="1"/>
        <w:numPr>
          <w:ilvl w:val="0"/>
          <w:numId w:val="3"/>
        </w:numPr>
        <w:tabs>
          <w:tab w:val="left" w:pos="327"/>
        </w:tabs>
        <w:spacing w:before="147"/>
        <w:ind w:hanging="213"/>
        <w:jc w:val="both"/>
      </w:pPr>
      <w:bookmarkStart w:id="0" w:name="Introduction_"/>
      <w:bookmarkEnd w:id="0"/>
      <w:r>
        <w:t>Εισαγωγή</w:t>
      </w:r>
    </w:p>
    <w:p w14:paraId="31C52CB5" w14:textId="77777777" w:rsidR="00F5166D" w:rsidRDefault="00623797">
      <w:pPr>
        <w:pStyle w:val="a3"/>
        <w:spacing w:before="77" w:line="256" w:lineRule="auto"/>
        <w:ind w:left="114" w:right="104" w:firstLine="425"/>
        <w:jc w:val="both"/>
      </w:pPr>
      <w:r w:rsidRPr="00D11C54">
        <w:rPr>
          <w:w w:val="105"/>
          <w:lang w:val="el-GR"/>
        </w:rPr>
        <w:t>Η ειδική μαθησιακή διαταραχή (</w:t>
      </w:r>
      <w:r>
        <w:rPr>
          <w:w w:val="105"/>
        </w:rPr>
        <w:t>SLD</w:t>
      </w:r>
      <w:r w:rsidRPr="00D11C54">
        <w:rPr>
          <w:w w:val="105"/>
          <w:lang w:val="el-GR"/>
        </w:rPr>
        <w:t>) είναι από τις πιο συχνά διαγνωσμένες αναπτυξιακές ψυχικές διαταραχές στην παιδική και εφηβική ηλικία. Σύμφωνα με τον ορισμό που προτείνεται από το Διαγνωστικό και Στατιστικό Εγχειρίδιο των Διανοητικών Διαταραχών της Αμερικανικής Ψυχιατρικής Εταιρείας [</w:t>
      </w:r>
      <w:hyperlink w:anchor="_bookmark7" w:history="1">
        <w:r w:rsidRPr="00D11C54">
          <w:rPr>
            <w:color w:val="0774B7"/>
            <w:w w:val="105"/>
            <w:lang w:val="el-GR"/>
          </w:rPr>
          <w:t>1</w:t>
        </w:r>
      </w:hyperlink>
      <w:r w:rsidRPr="00D11C54">
        <w:rPr>
          <w:w w:val="105"/>
          <w:lang w:val="el-GR"/>
        </w:rPr>
        <w:t xml:space="preserve">], μια </w:t>
      </w:r>
      <w:r>
        <w:rPr>
          <w:w w:val="105"/>
        </w:rPr>
        <w:t>SLD</w:t>
      </w:r>
      <w:r w:rsidRPr="00D11C54">
        <w:rPr>
          <w:w w:val="105"/>
          <w:lang w:val="el-GR"/>
        </w:rPr>
        <w:t xml:space="preserve"> συνεπάγεται δυσκολίες στην εκμάθηση ακαδημαϊκών δεξιοτήτων, όπως η ανάγνωση, η γραφή και τα μαθηματικά. Γενικά, ο επιπολασμός της </w:t>
      </w:r>
      <w:r>
        <w:rPr>
          <w:w w:val="105"/>
        </w:rPr>
        <w:t>SLD</w:t>
      </w:r>
      <w:r w:rsidRPr="00D11C54">
        <w:rPr>
          <w:w w:val="105"/>
          <w:lang w:val="el-GR"/>
        </w:rPr>
        <w:t xml:space="preserve"> είναι 5-15% μεταξύ των παιδιών σχολικής ηλικίας </w:t>
      </w:r>
      <w:r w:rsidRPr="00D11C54">
        <w:rPr>
          <w:lang w:val="el-GR"/>
        </w:rPr>
        <w:t xml:space="preserve">σε διαφορετικές γλώσσες και πολιτισμούς. </w:t>
      </w:r>
      <w:r>
        <w:t>Συγκεκριμένα, το DSM-5 [</w:t>
      </w:r>
      <w:hyperlink w:anchor="_bookmark7" w:history="1">
        <w:r>
          <w:rPr>
            <w:color w:val="0774B7"/>
          </w:rPr>
          <w:t>1</w:t>
        </w:r>
      </w:hyperlink>
      <w:r>
        <w:t xml:space="preserve">] προσδιορίζει την ύπαρξη </w:t>
      </w:r>
      <w:r>
        <w:rPr>
          <w:w w:val="105"/>
        </w:rPr>
        <w:t>τεσσάρων διαφορετικών SLD:</w:t>
      </w:r>
    </w:p>
    <w:p w14:paraId="7450EB1A" w14:textId="77777777" w:rsidR="00F5166D" w:rsidRPr="00D11C54" w:rsidRDefault="00623797">
      <w:pPr>
        <w:pStyle w:val="a5"/>
        <w:numPr>
          <w:ilvl w:val="0"/>
          <w:numId w:val="2"/>
        </w:numPr>
        <w:tabs>
          <w:tab w:val="left" w:pos="554"/>
        </w:tabs>
        <w:spacing w:before="41"/>
        <w:ind w:right="113"/>
        <w:jc w:val="both"/>
        <w:rPr>
          <w:sz w:val="20"/>
          <w:lang w:val="el-GR"/>
        </w:rPr>
      </w:pPr>
      <w:r w:rsidRPr="00D11C54">
        <w:rPr>
          <w:rFonts w:ascii="Palatino Linotype" w:hAnsi="Palatino Linotype"/>
          <w:i/>
          <w:w w:val="105"/>
          <w:sz w:val="20"/>
          <w:lang w:val="el-GR"/>
        </w:rPr>
        <w:t xml:space="preserve">Η δυσλεξία </w:t>
      </w:r>
      <w:r w:rsidRPr="00D11C54">
        <w:rPr>
          <w:w w:val="105"/>
          <w:sz w:val="20"/>
          <w:lang w:val="el-GR"/>
        </w:rPr>
        <w:t>αφορά δυσκολίες στις δεξιότητες ανάγνωσης και, ειδικότερα, ελλείμματα στην ακρίβεια, την ευχέρεια και την κατανόηση.</w:t>
      </w:r>
    </w:p>
    <w:p w14:paraId="5F582BFF" w14:textId="77777777" w:rsidR="00F5166D" w:rsidRPr="00D11C54" w:rsidRDefault="00623797">
      <w:pPr>
        <w:pStyle w:val="a5"/>
        <w:numPr>
          <w:ilvl w:val="0"/>
          <w:numId w:val="2"/>
        </w:numPr>
        <w:tabs>
          <w:tab w:val="left" w:pos="554"/>
        </w:tabs>
        <w:spacing w:line="249" w:lineRule="auto"/>
        <w:ind w:left="547" w:right="139" w:hanging="420"/>
        <w:jc w:val="both"/>
        <w:rPr>
          <w:sz w:val="20"/>
          <w:lang w:val="el-GR"/>
        </w:rPr>
      </w:pPr>
      <w:r w:rsidRPr="00D11C54">
        <w:rPr>
          <w:rFonts w:ascii="Palatino Linotype" w:hAnsi="Palatino Linotype"/>
          <w:i/>
          <w:sz w:val="20"/>
          <w:lang w:val="el-GR"/>
        </w:rPr>
        <w:t xml:space="preserve">Η ταξινόμηση </w:t>
      </w:r>
      <w:r w:rsidRPr="00D11C54">
        <w:rPr>
          <w:sz w:val="20"/>
          <w:lang w:val="el-GR"/>
        </w:rPr>
        <w:t>υποδεικνύει δυσκολίες στις ικανότητες γραφής, όπως η έλλειψη διαδικασιών κρυπτογράφησης (μετατροπή φωνήματος-γραφήματος) και ελλείμματα στη γραπτή έκφραση, που οδηγούν σε αδυναμία εκτέλεσης γραπτών προτάσεων και κειμένων.</w:t>
      </w:r>
    </w:p>
    <w:p w14:paraId="549CB0AC" w14:textId="77777777" w:rsidR="00F5166D" w:rsidRPr="00D11C54" w:rsidRDefault="00623797">
      <w:pPr>
        <w:pStyle w:val="a5"/>
        <w:numPr>
          <w:ilvl w:val="0"/>
          <w:numId w:val="2"/>
        </w:numPr>
        <w:tabs>
          <w:tab w:val="left" w:pos="554"/>
        </w:tabs>
        <w:spacing w:line="255" w:lineRule="exact"/>
        <w:ind w:hanging="426"/>
        <w:jc w:val="both"/>
        <w:rPr>
          <w:sz w:val="20"/>
          <w:lang w:val="el-GR"/>
        </w:rPr>
      </w:pPr>
      <w:r w:rsidRPr="00D11C54">
        <w:rPr>
          <w:rFonts w:ascii="Palatino Linotype" w:hAnsi="Palatino Linotype"/>
          <w:i/>
          <w:sz w:val="20"/>
          <w:lang w:val="el-GR"/>
        </w:rPr>
        <w:t xml:space="preserve">Η δυσγραφία </w:t>
      </w:r>
      <w:r w:rsidRPr="00D11C54">
        <w:rPr>
          <w:sz w:val="20"/>
          <w:lang w:val="el-GR"/>
        </w:rPr>
        <w:t>θεωρεί τις δυσκολίες στην οδήγηση των διαδικασιών των δεξιοτήτων γραφής ως έλλειμμα στο</w:t>
      </w:r>
    </w:p>
    <w:p w14:paraId="1A32AAED" w14:textId="77777777" w:rsidR="00F5166D" w:rsidRDefault="00623797">
      <w:pPr>
        <w:pStyle w:val="a3"/>
        <w:spacing w:line="233" w:lineRule="exact"/>
        <w:ind w:left="553"/>
        <w:jc w:val="both"/>
      </w:pPr>
      <w:r>
        <w:rPr>
          <w:w w:val="105"/>
        </w:rPr>
        <w:t>γραφιστική των γραμμάτων?</w:t>
      </w:r>
    </w:p>
    <w:p w14:paraId="24D403EA" w14:textId="77777777" w:rsidR="00F5166D" w:rsidRPr="00D11C54" w:rsidRDefault="00623797">
      <w:pPr>
        <w:pStyle w:val="a5"/>
        <w:numPr>
          <w:ilvl w:val="0"/>
          <w:numId w:val="2"/>
        </w:numPr>
        <w:tabs>
          <w:tab w:val="left" w:pos="554"/>
        </w:tabs>
        <w:spacing w:line="249" w:lineRule="auto"/>
        <w:ind w:right="137"/>
        <w:jc w:val="both"/>
        <w:rPr>
          <w:sz w:val="20"/>
          <w:lang w:val="el-GR"/>
        </w:rPr>
      </w:pPr>
      <w:r w:rsidRPr="00D11C54">
        <w:rPr>
          <w:rFonts w:ascii="Palatino Linotype" w:hAnsi="Palatino Linotype"/>
          <w:i/>
          <w:w w:val="105"/>
          <w:sz w:val="20"/>
          <w:lang w:val="el-GR"/>
        </w:rPr>
        <w:t xml:space="preserve">Η δυσαριθμησία </w:t>
      </w:r>
      <w:r w:rsidRPr="00D11C54">
        <w:rPr>
          <w:w w:val="105"/>
          <w:sz w:val="20"/>
          <w:lang w:val="el-GR"/>
        </w:rPr>
        <w:t>δείχνει εξασθένιση στη μείωση των αριθμητικών και μαθηματικών δυνατοτήτων και, ειδικότερα, στον υπολογισμό, την απαρίθμηση και την απομνημόνευση αριθμητικών γεγονότων.</w:t>
      </w:r>
    </w:p>
    <w:p w14:paraId="74A6FC39" w14:textId="77777777" w:rsidR="00F5166D" w:rsidRDefault="00623797">
      <w:pPr>
        <w:pStyle w:val="a3"/>
        <w:spacing w:before="62" w:line="256" w:lineRule="auto"/>
        <w:ind w:left="114" w:right="113" w:firstLine="425"/>
        <w:jc w:val="both"/>
      </w:pPr>
      <w:r w:rsidRPr="00D11C54">
        <w:rPr>
          <w:w w:val="105"/>
          <w:lang w:val="el-GR"/>
        </w:rPr>
        <w:lastRenderedPageBreak/>
        <w:t xml:space="preserve">Οι αιτίες της </w:t>
      </w:r>
      <w:r>
        <w:rPr>
          <w:w w:val="105"/>
        </w:rPr>
        <w:t>SLD</w:t>
      </w:r>
      <w:r w:rsidRPr="00D11C54">
        <w:rPr>
          <w:w w:val="105"/>
          <w:lang w:val="el-GR"/>
        </w:rPr>
        <w:t xml:space="preserve"> βρίσκονται σε νευροβιολογικές δυσλειτουργίες που εμπλέκονται στη φυσιολογική </w:t>
      </w:r>
      <w:r w:rsidRPr="00D11C54">
        <w:rPr>
          <w:lang w:val="el-GR"/>
        </w:rPr>
        <w:t xml:space="preserve">διαδικασία απόκτησης της ανάγνωσης, της γραφής και του υπολογισμού. </w:t>
      </w:r>
      <w:r>
        <w:t>Επιπλέον, περιβαλλοντικοί παράγοντες,</w:t>
      </w:r>
    </w:p>
    <w:p w14:paraId="45271D34" w14:textId="77777777" w:rsidR="00F5166D" w:rsidRDefault="00F5166D">
      <w:pPr>
        <w:spacing w:line="256" w:lineRule="auto"/>
        <w:jc w:val="both"/>
        <w:sectPr w:rsidR="00F5166D">
          <w:type w:val="continuous"/>
          <w:pgSz w:w="11910" w:h="16840"/>
          <w:pgMar w:top="980" w:right="580" w:bottom="0" w:left="600" w:header="720" w:footer="720" w:gutter="0"/>
          <w:cols w:num="2" w:space="720" w:equalWidth="0">
            <w:col w:w="2505" w:space="108"/>
            <w:col w:w="8117"/>
          </w:cols>
        </w:sectPr>
      </w:pPr>
    </w:p>
    <w:p w14:paraId="08982F88" w14:textId="77777777" w:rsidR="00F5166D" w:rsidRDefault="00F5166D">
      <w:pPr>
        <w:pStyle w:val="a3"/>
      </w:pPr>
    </w:p>
    <w:p w14:paraId="51642D80" w14:textId="77777777" w:rsidR="00F5166D" w:rsidRDefault="00F5166D">
      <w:pPr>
        <w:pStyle w:val="a3"/>
      </w:pPr>
    </w:p>
    <w:p w14:paraId="0B327114" w14:textId="77777777" w:rsidR="00F5166D" w:rsidRDefault="00F5166D">
      <w:pPr>
        <w:pStyle w:val="a3"/>
        <w:spacing w:after="1"/>
        <w:rPr>
          <w:sz w:val="13"/>
        </w:rPr>
      </w:pPr>
    </w:p>
    <w:p w14:paraId="2928BD1F" w14:textId="152235D6" w:rsidR="00F5166D" w:rsidRDefault="00D11C54">
      <w:pPr>
        <w:pStyle w:val="a3"/>
        <w:spacing w:line="20" w:lineRule="exact"/>
        <w:ind w:left="110"/>
        <w:rPr>
          <w:sz w:val="2"/>
        </w:rPr>
      </w:pPr>
      <w:r>
        <w:rPr>
          <w:noProof/>
          <w:sz w:val="2"/>
        </w:rPr>
        <mc:AlternateContent>
          <mc:Choice Requires="wpg">
            <w:drawing>
              <wp:inline distT="0" distB="0" distL="0" distR="0" wp14:anchorId="71F378C9" wp14:editId="7D71E319">
                <wp:extent cx="6649720" cy="5080"/>
                <wp:effectExtent l="12700" t="6985" r="5080" b="6985"/>
                <wp:docPr id="1850385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5080"/>
                          <a:chOff x="0" y="0"/>
                          <a:chExt cx="10472" cy="8"/>
                        </a:xfrm>
                      </wpg:grpSpPr>
                      <wps:wsp>
                        <wps:cNvPr id="1358128654" name="Line 9"/>
                        <wps:cNvCnPr>
                          <a:cxnSpLocks noChangeShapeType="1"/>
                        </wps:cNvCnPr>
                        <wps:spPr bwMode="auto">
                          <a:xfrm>
                            <a:off x="0" y="4"/>
                            <a:ext cx="10471"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8113FC" id="Group 8" o:spid="_x0000_s1026" style="width:523.6pt;height:.4pt;mso-position-horizontal-relative:char;mso-position-vertical-relative:line" coordsize="10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">
                <v:line id="Line 9" o:spid="_x0000_s1027" style="position:absolute;visibility:visible;mso-wrap-style:square" from="0,4" to="10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" strokeweight=".14042mm"/>
                <w10:anchorlock/>
              </v:group>
            </w:pict>
          </mc:Fallback>
        </mc:AlternateContent>
      </w:r>
    </w:p>
    <w:p w14:paraId="1AEC1239" w14:textId="77777777" w:rsidR="00F5166D" w:rsidRDefault="00623797">
      <w:pPr>
        <w:tabs>
          <w:tab w:val="left" w:pos="7729"/>
        </w:tabs>
        <w:spacing w:before="59"/>
        <w:ind w:left="109"/>
        <w:rPr>
          <w:sz w:val="16"/>
        </w:rPr>
      </w:pPr>
      <w:r w:rsidRPr="00D11C54">
        <w:rPr>
          <w:rFonts w:ascii="Palatino Linotype" w:hAnsi="Palatino Linotype"/>
          <w:i/>
          <w:spacing w:val="-1"/>
          <w:sz w:val="16"/>
          <w:lang w:val="fr-FR"/>
        </w:rPr>
        <w:t xml:space="preserve">Eur. J. Investig. </w:t>
      </w:r>
      <w:r>
        <w:rPr>
          <w:rFonts w:ascii="Palatino Linotype" w:hAnsi="Palatino Linotype"/>
          <w:i/>
          <w:spacing w:val="-1"/>
          <w:sz w:val="16"/>
        </w:rPr>
        <w:t>Υγεία</w:t>
      </w:r>
      <w:r w:rsidRPr="00D11C54">
        <w:rPr>
          <w:rFonts w:ascii="Palatino Linotype" w:hAnsi="Palatino Linotype"/>
          <w:i/>
          <w:spacing w:val="-1"/>
          <w:sz w:val="16"/>
          <w:lang w:val="fr-FR"/>
        </w:rPr>
        <w:t xml:space="preserve"> Psychol. </w:t>
      </w:r>
      <w:r>
        <w:rPr>
          <w:rFonts w:ascii="Palatino Linotype" w:hAnsi="Palatino Linotype"/>
          <w:i/>
          <w:spacing w:val="-1"/>
          <w:sz w:val="16"/>
        </w:rPr>
        <w:t xml:space="preserve">Educ. </w:t>
      </w:r>
      <w:r>
        <w:rPr>
          <w:b/>
          <w:spacing w:val="-1"/>
          <w:sz w:val="16"/>
        </w:rPr>
        <w:t>2022</w:t>
      </w:r>
      <w:r>
        <w:rPr>
          <w:spacing w:val="-1"/>
          <w:sz w:val="16"/>
        </w:rPr>
        <w:t xml:space="preserve">, </w:t>
      </w:r>
      <w:r>
        <w:rPr>
          <w:rFonts w:ascii="Palatino Linotype" w:hAnsi="Palatino Linotype"/>
          <w:i/>
          <w:sz w:val="16"/>
        </w:rPr>
        <w:t>12</w:t>
      </w:r>
      <w:r>
        <w:rPr>
          <w:sz w:val="16"/>
        </w:rPr>
        <w:t xml:space="preserve">, 1034–1049. </w:t>
      </w:r>
      <w:hyperlink r:id="rId30">
        <w:r>
          <w:rPr>
            <w:sz w:val="16"/>
          </w:rPr>
          <w:t>https://doi.org/10.3390/ejihpe12080074</w:t>
        </w:r>
      </w:hyperlink>
      <w:r>
        <w:rPr>
          <w:sz w:val="16"/>
        </w:rPr>
        <w:tab/>
      </w:r>
      <w:hyperlink r:id="rId31">
        <w:r>
          <w:rPr>
            <w:sz w:val="16"/>
          </w:rPr>
          <w:t>https://www.mdpi.com/journal/ejihpe</w:t>
        </w:r>
      </w:hyperlink>
    </w:p>
    <w:p w14:paraId="6D83E4E1" w14:textId="77777777" w:rsidR="00F5166D" w:rsidRDefault="00F5166D">
      <w:pPr>
        <w:rPr>
          <w:sz w:val="16"/>
        </w:rPr>
        <w:sectPr w:rsidR="00F5166D">
          <w:type w:val="continuous"/>
          <w:pgSz w:w="11910" w:h="16840"/>
          <w:pgMar w:top="980" w:right="580" w:bottom="0" w:left="600" w:header="720" w:footer="720" w:gutter="0"/>
          <w:cols w:space="720"/>
        </w:sectPr>
      </w:pPr>
    </w:p>
    <w:p w14:paraId="77F07336" w14:textId="77777777" w:rsidR="00F5166D" w:rsidRDefault="00F5166D">
      <w:pPr>
        <w:pStyle w:val="a3"/>
      </w:pPr>
    </w:p>
    <w:p w14:paraId="5E80D8F9" w14:textId="77777777" w:rsidR="00F5166D" w:rsidRDefault="00F5166D">
      <w:pPr>
        <w:pStyle w:val="a3"/>
        <w:spacing w:before="6"/>
        <w:rPr>
          <w:sz w:val="21"/>
        </w:rPr>
      </w:pPr>
    </w:p>
    <w:p w14:paraId="1010BA20" w14:textId="77777777" w:rsidR="00F5166D" w:rsidRPr="00D11C54" w:rsidRDefault="00623797">
      <w:pPr>
        <w:pStyle w:val="a3"/>
        <w:spacing w:line="256" w:lineRule="auto"/>
        <w:ind w:left="2727" w:right="133"/>
        <w:jc w:val="both"/>
        <w:rPr>
          <w:lang w:val="el-GR"/>
        </w:rPr>
      </w:pPr>
      <w:r w:rsidRPr="00D11C54">
        <w:rPr>
          <w:w w:val="105"/>
          <w:lang w:val="el-GR"/>
        </w:rPr>
        <w:t>όπως το σχολείο, η οικογένεια και το κοινωνικό πλαίσιο, συνδέονται με νευροβιολογικά και βοηθούν στον καθορισμό μιας μεγαλύτερης ή μικρότερης προσαρμογής [</w:t>
      </w:r>
      <w:hyperlink w:anchor="_bookmark8" w:history="1">
        <w:r w:rsidRPr="00D11C54">
          <w:rPr>
            <w:color w:val="0774B7"/>
            <w:w w:val="105"/>
            <w:lang w:val="el-GR"/>
          </w:rPr>
          <w:t>2</w:t>
        </w:r>
      </w:hyperlink>
      <w:r w:rsidRPr="00D11C54">
        <w:rPr>
          <w:w w:val="105"/>
          <w:lang w:val="el-GR"/>
        </w:rPr>
        <w:t>].</w:t>
      </w:r>
    </w:p>
    <w:p w14:paraId="6CC12627" w14:textId="77777777" w:rsidR="00F5166D" w:rsidRPr="00D11C54" w:rsidRDefault="00623797">
      <w:pPr>
        <w:pStyle w:val="a3"/>
        <w:spacing w:before="1" w:line="256" w:lineRule="auto"/>
        <w:ind w:left="2727" w:right="113" w:firstLine="425"/>
        <w:jc w:val="both"/>
        <w:rPr>
          <w:lang w:val="el-GR"/>
        </w:rPr>
      </w:pPr>
      <w:r w:rsidRPr="00D11C54">
        <w:rPr>
          <w:w w:val="105"/>
          <w:lang w:val="el-GR"/>
        </w:rPr>
        <w:t xml:space="preserve">Το κύριο χαρακτηριστικό αυτής της διαταραχής είναι ότι εμφανίζεται σε άτομα με μέσο </w:t>
      </w:r>
      <w:r w:rsidRPr="00D11C54">
        <w:rPr>
          <w:lang w:val="el-GR"/>
        </w:rPr>
        <w:t xml:space="preserve">πηλίκο νοημοσύνης (όχι μικρότερο από </w:t>
      </w:r>
      <w:r>
        <w:t>IQ</w:t>
      </w:r>
      <w:r w:rsidRPr="00D11C54">
        <w:rPr>
          <w:lang w:val="el-GR"/>
        </w:rPr>
        <w:t xml:space="preserve"> ίσο με 85) και χωρίς νευρολογικά ή αισθητηριακά </w:t>
      </w:r>
      <w:r w:rsidRPr="00D11C54">
        <w:rPr>
          <w:w w:val="105"/>
          <w:lang w:val="el-GR"/>
        </w:rPr>
        <w:t>ελλείμματα, ψυχοπαθολογία και κοινωνικο-πολιτιστικά μειονεκτήματα. Αυτό το χαρακτηριστικό δημιουργεί ένα χάσμα ανάμεσα σε αυτό που περιμένει από ένα μάθημα με υψηλές πνευματικές ικανότητες στο σχολικό περιβάλλον και την πραγματική του απόδοση που, στις περισσότερες περιπτώσεις, είναι κακή λόγω της μαθησιακής διαταραχής. Από την άποψη αυτή, στο ιταλικό πλαίσιο, λαμβάνοντας υπόψη τις κατευθυντήριες γραμμές που προτάθηκαν από τη διάσκεψη συναίνεσης [</w:t>
      </w:r>
      <w:hyperlink w:anchor="_bookmark9" w:history="1">
        <w:r w:rsidRPr="00D11C54">
          <w:rPr>
            <w:color w:val="0774B7"/>
            <w:w w:val="105"/>
            <w:lang w:val="el-GR"/>
          </w:rPr>
          <w:t>3</w:t>
        </w:r>
      </w:hyperlink>
      <w:r w:rsidRPr="00D11C54">
        <w:rPr>
          <w:w w:val="105"/>
          <w:lang w:val="el-GR"/>
        </w:rPr>
        <w:t>], δύο πτυχές διακρίνουν κυρίως την ειδική μαθησιακή διαταραχή από τη μαθησιακή διαταραχή (</w:t>
      </w:r>
      <w:r>
        <w:rPr>
          <w:w w:val="105"/>
        </w:rPr>
        <w:t>LD</w:t>
      </w:r>
      <w:r w:rsidRPr="00D11C54">
        <w:rPr>
          <w:w w:val="105"/>
          <w:lang w:val="el-GR"/>
        </w:rPr>
        <w:t xml:space="preserve">): "ειδικότητα" και "ασυμφωνία". Όσον αφορά το πρώτο στοιχείο, η </w:t>
      </w:r>
      <w:r w:rsidRPr="00D11C54">
        <w:rPr>
          <w:lang w:val="el-GR"/>
        </w:rPr>
        <w:t>τροποποιημένη λειτουργικότητα επηρεάζει σημαντικά έναν ή περισσότερους συγκεκριμένους τομείς, αλλά περιορίζεται</w:t>
      </w:r>
      <w:r w:rsidRPr="00D11C54">
        <w:rPr>
          <w:w w:val="105"/>
          <w:lang w:val="el-GR"/>
        </w:rPr>
        <w:t>, αφήνοντας ανέπαφη τη γενική πνευματική λειτουργία [</w:t>
      </w:r>
      <w:hyperlink w:anchor="_bookmark10" w:history="1">
        <w:r w:rsidRPr="00D11C54">
          <w:rPr>
            <w:color w:val="0774B7"/>
            <w:w w:val="105"/>
            <w:lang w:val="el-GR"/>
          </w:rPr>
          <w:t>4,5</w:t>
        </w:r>
      </w:hyperlink>
      <w:hyperlink w:anchor="_bookmark11" w:history="1"/>
      <w:r w:rsidRPr="00D11C54">
        <w:rPr>
          <w:w w:val="105"/>
          <w:lang w:val="el-GR"/>
        </w:rPr>
        <w:t>].   Αντ 'αυτού, η «ασυμφωνία» ορίζεται ως μια διαφορά μεταξύ της γενικής πνευματικής ικανότητας (</w:t>
      </w:r>
      <w:r>
        <w:rPr>
          <w:w w:val="105"/>
        </w:rPr>
        <w:t>IQ</w:t>
      </w:r>
      <w:r w:rsidRPr="00D11C54">
        <w:rPr>
          <w:w w:val="105"/>
          <w:lang w:val="el-GR"/>
        </w:rPr>
        <w:t xml:space="preserve">) και των ακαδημαϊκών επιτευγμάτων. Μια </w:t>
      </w:r>
      <w:r w:rsidRPr="00D11C54">
        <w:rPr>
          <w:lang w:val="el-GR"/>
        </w:rPr>
        <w:t xml:space="preserve">άλλη πτυχή της ΣΜΔ είναι η «χρονιότητα»: αυτή η διαταραχή αλλάζει με την ηλικία και τις περιβαλλοντικές </w:t>
      </w:r>
      <w:r w:rsidRPr="00D11C54">
        <w:rPr>
          <w:w w:val="105"/>
          <w:lang w:val="el-GR"/>
        </w:rPr>
        <w:t>απαιτήσεις, εκδηλώνοντας διαφορετικά χαρακτηριστικά κατά τη διάρκεια της εξελικτικής ανάπτυξης των πασχόντων [</w:t>
      </w:r>
      <w:hyperlink w:anchor="_bookmark8" w:history="1">
        <w:r w:rsidRPr="00D11C54">
          <w:rPr>
            <w:color w:val="0774B7"/>
            <w:w w:val="105"/>
            <w:lang w:val="el-GR"/>
          </w:rPr>
          <w:t>2</w:t>
        </w:r>
      </w:hyperlink>
      <w:r w:rsidRPr="00D11C54">
        <w:rPr>
          <w:w w:val="105"/>
          <w:lang w:val="el-GR"/>
        </w:rPr>
        <w:t>].</w:t>
      </w:r>
    </w:p>
    <w:p w14:paraId="48E19FC7" w14:textId="77777777" w:rsidR="00F5166D" w:rsidRPr="00D11C54" w:rsidRDefault="00623797">
      <w:pPr>
        <w:pStyle w:val="a3"/>
        <w:spacing w:before="2" w:line="256" w:lineRule="auto"/>
        <w:ind w:left="2727" w:right="138" w:firstLine="425"/>
        <w:jc w:val="both"/>
        <w:rPr>
          <w:lang w:val="el-GR"/>
        </w:rPr>
      </w:pPr>
      <w:r w:rsidRPr="00D11C54">
        <w:rPr>
          <w:lang w:val="el-GR"/>
        </w:rPr>
        <w:t xml:space="preserve">Τέλος, η συννοσηρότητα με άλλες ψυχοπαθολογικές διαταραχές, όπως η διαταραχή ελλειμματικής </w:t>
      </w:r>
      <w:r w:rsidRPr="00D11C54">
        <w:rPr>
          <w:w w:val="105"/>
          <w:lang w:val="el-GR"/>
        </w:rPr>
        <w:t>προσοχής με ή χωρίς υπερκινητικότητα, το άγχος, η κατάθλιψη και οι διαταραχές συμπεριφοράς, είναι επίσης συχνές [6,7</w:t>
      </w:r>
      <w:hyperlink w:anchor="_bookmark12" w:history="1"/>
      <w:hyperlink w:anchor="_bookmark13" w:history="1"/>
      <w:r w:rsidRPr="00D11C54">
        <w:rPr>
          <w:w w:val="105"/>
          <w:lang w:val="el-GR"/>
        </w:rPr>
        <w:t>]. Επιπλέον, τα άτομα μπορεί να πάσχουν από περισσότερες από μία ειδικές μαθησιακές διαταραχές (εσωτερική συννοσηρότητα, όπως δυσλεξία και δυσορτογραφία) [</w:t>
      </w:r>
      <w:hyperlink w:anchor="_bookmark8" w:history="1">
        <w:r w:rsidRPr="00D11C54">
          <w:rPr>
            <w:color w:val="0774B7"/>
            <w:w w:val="105"/>
            <w:lang w:val="el-GR"/>
          </w:rPr>
          <w:t>2</w:t>
        </w:r>
      </w:hyperlink>
      <w:r w:rsidRPr="00D11C54">
        <w:rPr>
          <w:w w:val="105"/>
          <w:lang w:val="el-GR"/>
        </w:rPr>
        <w:t>].</w:t>
      </w:r>
    </w:p>
    <w:p w14:paraId="12BB67A4" w14:textId="77777777" w:rsidR="00F5166D" w:rsidRPr="00D11C54" w:rsidRDefault="00623797">
      <w:pPr>
        <w:pStyle w:val="a3"/>
        <w:spacing w:before="1" w:line="256" w:lineRule="auto"/>
        <w:ind w:left="2719" w:right="113" w:firstLine="433"/>
        <w:jc w:val="both"/>
        <w:rPr>
          <w:lang w:val="el-GR"/>
        </w:rPr>
      </w:pPr>
      <w:r w:rsidRPr="00D11C54">
        <w:rPr>
          <w:lang w:val="el-GR"/>
        </w:rPr>
        <w:t xml:space="preserve">Στην Ιταλία, η διάγνωση μιας </w:t>
      </w:r>
      <w:r>
        <w:t>SLD</w:t>
      </w:r>
      <w:r w:rsidRPr="00D11C54">
        <w:rPr>
          <w:lang w:val="el-GR"/>
        </w:rPr>
        <w:t xml:space="preserve"> παρέχεται σύμφωνα με το Υπουργείο Υγείας και τις κατευθυντήριες γραμμές του περιφερειακού συστήματος υγείας. Βασίζεται στο διαγνωστικό σύστημα ταξινόμησης </w:t>
      </w:r>
      <w:r>
        <w:t>ICD</w:t>
      </w:r>
      <w:r w:rsidRPr="00D11C54">
        <w:rPr>
          <w:lang w:val="el-GR"/>
        </w:rPr>
        <w:t xml:space="preserve">-11, το οποίο αναφέρεται στην κατηγορία που ονομάζεται «Αναπτυξιακή μαθησιακή διαταραχή» (κωδικός </w:t>
      </w:r>
      <w:r>
        <w:t>ICD</w:t>
      </w:r>
      <w:r w:rsidRPr="00D11C54">
        <w:rPr>
          <w:lang w:val="el-GR"/>
        </w:rPr>
        <w:t>-11: 6</w:t>
      </w:r>
      <w:r>
        <w:t>A</w:t>
      </w:r>
      <w:r w:rsidRPr="00D11C54">
        <w:rPr>
          <w:lang w:val="el-GR"/>
        </w:rPr>
        <w:t>03) και στους υποτύπους που αφορούν την αναπηρία στην ανάγνωση (6</w:t>
      </w:r>
      <w:r>
        <w:t>A</w:t>
      </w:r>
      <w:r w:rsidRPr="00D11C54">
        <w:rPr>
          <w:lang w:val="el-GR"/>
        </w:rPr>
        <w:t>03.0), τη μειωμένη γραπτή έκφραση (6</w:t>
      </w:r>
      <w:r>
        <w:t>A</w:t>
      </w:r>
      <w:r w:rsidRPr="00D11C54">
        <w:rPr>
          <w:lang w:val="el-GR"/>
        </w:rPr>
        <w:t>03.1), την εξασθένιση στα μαθηματικά (6</w:t>
      </w:r>
      <w:r>
        <w:t>A</w:t>
      </w:r>
      <w:r w:rsidRPr="00D11C54">
        <w:rPr>
          <w:lang w:val="el-GR"/>
        </w:rPr>
        <w:t>03.2) και άλλες συγκεκριμένες βλάβες της μάθησης (6</w:t>
      </w:r>
      <w:r>
        <w:t>A</w:t>
      </w:r>
      <w:r w:rsidRPr="00D11C54">
        <w:rPr>
          <w:lang w:val="el-GR"/>
        </w:rPr>
        <w:t>03.3) [</w:t>
      </w:r>
      <w:hyperlink w:anchor="_bookmark14" w:history="1">
        <w:r w:rsidRPr="00D11C54">
          <w:rPr>
            <w:color w:val="0774B7"/>
            <w:lang w:val="el-GR"/>
          </w:rPr>
          <w:t>8</w:t>
        </w:r>
      </w:hyperlink>
      <w:r w:rsidRPr="00D11C54">
        <w:rPr>
          <w:lang w:val="el-GR"/>
        </w:rPr>
        <w:t xml:space="preserve">]. Η διάγνωση της </w:t>
      </w:r>
      <w:r>
        <w:t>SLD</w:t>
      </w:r>
      <w:r w:rsidRPr="00D11C54">
        <w:rPr>
          <w:lang w:val="el-GR"/>
        </w:rPr>
        <w:t xml:space="preserve"> πρέπει να παρέχεται από την τοπική αρχή υγείας ή ιδιώτες επαγγελματίες (π.χ. ψυχολόγους, νευροψυχιάτρους) και στη συνέχεια να εγκριθεί από την τοπική υγειονομική αρχή.</w:t>
      </w:r>
    </w:p>
    <w:p w14:paraId="3A83C9F5" w14:textId="77777777" w:rsidR="00F5166D" w:rsidRPr="00D11C54" w:rsidRDefault="00623797">
      <w:pPr>
        <w:pStyle w:val="a3"/>
        <w:spacing w:before="1" w:line="256" w:lineRule="auto"/>
        <w:ind w:left="2719" w:right="105" w:firstLine="433"/>
        <w:jc w:val="both"/>
        <w:rPr>
          <w:lang w:val="el-GR"/>
        </w:rPr>
      </w:pPr>
      <w:r w:rsidRPr="00D11C54">
        <w:rPr>
          <w:w w:val="105"/>
          <w:lang w:val="el-GR"/>
        </w:rPr>
        <w:t xml:space="preserve">Είναι σαφές ότι η εξασθένιση αυτών των ακαδημαϊκών δεξιοτήτων (ανάγνωση, γραφή  και </w:t>
      </w:r>
      <w:r w:rsidRPr="00D11C54">
        <w:rPr>
          <w:lang w:val="el-GR"/>
        </w:rPr>
        <w:t xml:space="preserve">μαθηματικές δεξιότητες) έχει σημαντικό αρνητικό αντίκτυπο στη ζωή των ατόμων με ΝΦΔ, τόσο σε προσωπικό επίπεδο, προκαλώντας συστηματική υποβάθμιση της ακαδημαϊκής επιτυχίας ή πρόωρη </w:t>
      </w:r>
      <w:r w:rsidRPr="00D11C54">
        <w:rPr>
          <w:w w:val="105"/>
          <w:lang w:val="el-GR"/>
        </w:rPr>
        <w:t>εγκατάλειψη του σχολείου, όσο και σε κοινωνικό επίπεδο, ως μείωση της ανάπτυξης του κοινωνικού και εργασιακού δυναμικού του ατόμου [</w:t>
      </w:r>
      <w:hyperlink w:anchor="_bookmark15" w:history="1">
        <w:r w:rsidRPr="00D11C54">
          <w:rPr>
            <w:color w:val="0774B7"/>
            <w:w w:val="105"/>
            <w:lang w:val="el-GR"/>
          </w:rPr>
          <w:t>9</w:t>
        </w:r>
      </w:hyperlink>
      <w:r w:rsidRPr="00D11C54">
        <w:rPr>
          <w:w w:val="105"/>
          <w:lang w:val="el-GR"/>
        </w:rPr>
        <w:t>].</w:t>
      </w:r>
    </w:p>
    <w:p w14:paraId="6CE78B80" w14:textId="77777777" w:rsidR="00F5166D" w:rsidRPr="00D11C54" w:rsidRDefault="00623797">
      <w:pPr>
        <w:pStyle w:val="a3"/>
        <w:spacing w:before="1" w:line="256" w:lineRule="auto"/>
        <w:ind w:left="2719" w:right="103" w:firstLine="433"/>
        <w:jc w:val="both"/>
        <w:rPr>
          <w:lang w:val="el-GR"/>
        </w:rPr>
      </w:pPr>
      <w:r w:rsidRPr="00D11C54">
        <w:rPr>
          <w:spacing w:val="-1"/>
          <w:w w:val="105"/>
          <w:lang w:val="el-GR"/>
        </w:rPr>
        <w:t xml:space="preserve">Προηγουμένως, αρκετές μελέτες διερεύνησαν τις διαφορές μεταξύ των μαθητών με και χωρίς </w:t>
      </w:r>
      <w:r>
        <w:rPr>
          <w:spacing w:val="-1"/>
          <w:w w:val="105"/>
        </w:rPr>
        <w:t>SLD</w:t>
      </w:r>
      <w:r w:rsidRPr="00D11C54">
        <w:rPr>
          <w:spacing w:val="-1"/>
          <w:w w:val="105"/>
          <w:lang w:val="el-GR"/>
        </w:rPr>
        <w:t xml:space="preserve"> σε πολλαπλούς τομείς λειτουργίας και προσαρμογής [</w:t>
      </w:r>
      <w:hyperlink w:anchor="_bookmark16" w:history="1">
        <w:r w:rsidRPr="00D11C54">
          <w:rPr>
            <w:color w:val="0774B7"/>
            <w:w w:val="105"/>
            <w:lang w:val="el-GR"/>
          </w:rPr>
          <w:t>10</w:t>
        </w:r>
      </w:hyperlink>
      <w:r w:rsidRPr="00D11C54">
        <w:rPr>
          <w:w w:val="105"/>
          <w:lang w:val="el-GR"/>
        </w:rPr>
        <w:t>–</w:t>
      </w:r>
      <w:hyperlink w:anchor="_bookmark18" w:history="1">
        <w:r w:rsidRPr="00D11C54">
          <w:rPr>
            <w:color w:val="0774B7"/>
            <w:w w:val="105"/>
            <w:lang w:val="el-GR"/>
          </w:rPr>
          <w:t>12</w:t>
        </w:r>
      </w:hyperlink>
      <w:r w:rsidRPr="00D11C54">
        <w:rPr>
          <w:w w:val="105"/>
          <w:lang w:val="el-GR"/>
        </w:rPr>
        <w:t xml:space="preserve">]. Τα αποτελέσματα δείχνουν ότι σε σύγκριση με τους συνομηλίκους τους χωρίς ΣΔ, οι μαθητές με ΣΜΔ έχουν χαμηλότερα επίπεδα ακαδημαϊκών </w:t>
      </w:r>
      <w:r w:rsidRPr="00D11C54">
        <w:rPr>
          <w:lang w:val="el-GR"/>
        </w:rPr>
        <w:t>επιδόσεων· επιπλέον, οι ακαδημαϊκές δυσκολίες μάθησης και επίδοσης, σαφώς επίμονες και συχνά επώδυνες, είναι τυπικές εμπειρίες πολλών μαθητών με ΣΜΔ [</w:t>
      </w:r>
      <w:hyperlink w:anchor="_bookmark19" w:history="1">
        <w:r w:rsidRPr="00D11C54">
          <w:rPr>
            <w:color w:val="0774B7"/>
            <w:lang w:val="el-GR"/>
          </w:rPr>
          <w:t>13</w:t>
        </w:r>
      </w:hyperlink>
      <w:r w:rsidRPr="00D11C54">
        <w:rPr>
          <w:lang w:val="el-GR"/>
        </w:rPr>
        <w:t xml:space="preserve">]. Περαιτέρω έρευνα ρωτά εάν οι ατομικές και κοινωνικές δυσκολίες που αντιλαμβάνονται τα άτομα με ΣΜΔ προκύπτουν </w:t>
      </w:r>
      <w:r w:rsidRPr="00D11C54">
        <w:rPr>
          <w:w w:val="105"/>
          <w:lang w:val="el-GR"/>
        </w:rPr>
        <w:t>από τη σχολική τους αποτυχία ή αποτελούν ειδικό χαρακτηριστικό της μαθησιακής διαταραχής [</w:t>
      </w:r>
      <w:hyperlink w:anchor="_bookmark20" w:history="1">
        <w:r w:rsidRPr="00D11C54">
          <w:rPr>
            <w:color w:val="0774B7"/>
            <w:w w:val="105"/>
            <w:lang w:val="el-GR"/>
          </w:rPr>
          <w:t>14,15</w:t>
        </w:r>
      </w:hyperlink>
      <w:hyperlink w:anchor="_bookmark21" w:history="1"/>
      <w:r w:rsidRPr="00D11C54">
        <w:rPr>
          <w:w w:val="105"/>
          <w:lang w:val="el-GR"/>
        </w:rPr>
        <w:t xml:space="preserve">]. Συγκεκριμένα, οι </w:t>
      </w:r>
      <w:r>
        <w:rPr>
          <w:w w:val="105"/>
        </w:rPr>
        <w:t>Cosden</w:t>
      </w:r>
      <w:r w:rsidRPr="00D11C54">
        <w:rPr>
          <w:w w:val="105"/>
          <w:lang w:val="el-GR"/>
        </w:rPr>
        <w:t xml:space="preserve"> </w:t>
      </w:r>
      <w:r>
        <w:rPr>
          <w:w w:val="105"/>
        </w:rPr>
        <w:t>et</w:t>
      </w:r>
      <w:r w:rsidRPr="00D11C54">
        <w:rPr>
          <w:w w:val="105"/>
          <w:lang w:val="el-GR"/>
        </w:rPr>
        <w:t xml:space="preserve"> </w:t>
      </w:r>
      <w:r>
        <w:rPr>
          <w:w w:val="105"/>
        </w:rPr>
        <w:t>al</w:t>
      </w:r>
      <w:r w:rsidRPr="00D11C54">
        <w:rPr>
          <w:w w:val="105"/>
          <w:lang w:val="el-GR"/>
        </w:rPr>
        <w:t>. [</w:t>
      </w:r>
      <w:hyperlink w:anchor="_bookmark20" w:history="1">
        <w:r w:rsidRPr="00D11C54">
          <w:rPr>
            <w:color w:val="0774B7"/>
            <w:w w:val="105"/>
            <w:lang w:val="el-GR"/>
          </w:rPr>
          <w:t>14</w:t>
        </w:r>
      </w:hyperlink>
      <w:r w:rsidRPr="00D11C54">
        <w:rPr>
          <w:w w:val="105"/>
          <w:lang w:val="el-GR"/>
        </w:rPr>
        <w:t xml:space="preserve">] μελέτησαν τις αντιλήψεις που έχουν οι οικογένειες και οι εκπαιδευτικοί </w:t>
      </w:r>
      <w:r w:rsidRPr="00D11C54">
        <w:rPr>
          <w:lang w:val="el-GR"/>
        </w:rPr>
        <w:t xml:space="preserve">για τους εφήβους με μαθησιακή διαταραχή, καταλήγοντας στο συμπέρασμα ότι η ακαδημαϊκή επιτυχία </w:t>
      </w:r>
      <w:r w:rsidRPr="00D11C54">
        <w:rPr>
          <w:w w:val="105"/>
          <w:lang w:val="el-GR"/>
        </w:rPr>
        <w:t>δεν ήταν η μόνη πρόκληση που αντιμετώπιζαν οι έφηβοι. οι αποτυχίες εξαρτώνται τόσο από τα τυπικά χαρακτηριστικά της διαταραχής όσο και από πολλές ψυχολογικές μεταβλητές, όπως η έλλειψη ικανότητας συσχέτισης με τους συνομηλίκους,  χαμηλά επίπεδα αυτοεκτίμησης και αυτογνωσίας. Επιπλέον</w:t>
      </w:r>
      <w:r w:rsidRPr="00D11C54">
        <w:rPr>
          <w:lang w:val="el-GR"/>
        </w:rPr>
        <w:t xml:space="preserve">, ο </w:t>
      </w:r>
      <w:r>
        <w:t>Vaughn</w:t>
      </w:r>
      <w:r w:rsidRPr="00D11C54">
        <w:rPr>
          <w:lang w:val="el-GR"/>
        </w:rPr>
        <w:t xml:space="preserve"> [</w:t>
      </w:r>
      <w:hyperlink w:anchor="_bookmark21" w:history="1">
        <w:r w:rsidRPr="00D11C54">
          <w:rPr>
            <w:color w:val="0774B7"/>
            <w:lang w:val="el-GR"/>
          </w:rPr>
          <w:t>15</w:t>
        </w:r>
      </w:hyperlink>
      <w:r w:rsidRPr="00D11C54">
        <w:rPr>
          <w:lang w:val="el-GR"/>
        </w:rPr>
        <w:t xml:space="preserve">], μέσω μιας διαχρονικής μελέτης διάρκειας πέντε ετών, έδειξε ότι ο τρόπος με τον οποίο οι μαθητές </w:t>
      </w:r>
      <w:r w:rsidRPr="00D11C54">
        <w:rPr>
          <w:w w:val="105"/>
          <w:lang w:val="el-GR"/>
        </w:rPr>
        <w:t xml:space="preserve">αντιλαμβάνονται τον εαυτό τους με </w:t>
      </w:r>
      <w:r>
        <w:rPr>
          <w:w w:val="105"/>
        </w:rPr>
        <w:t>SLD</w:t>
      </w:r>
      <w:r w:rsidRPr="00D11C54">
        <w:rPr>
          <w:w w:val="105"/>
          <w:lang w:val="el-GR"/>
        </w:rPr>
        <w:t xml:space="preserve"> επηρεάζεται από ακαδημαϊκές και κοινωνικές δυσκολίες, ειδικά στις πρώτες τάξεις, ή από τη διαδικασία αναγνώρισης και επισήμανσης.</w:t>
      </w:r>
    </w:p>
    <w:p w14:paraId="09DFA2FE" w14:textId="77777777" w:rsidR="00F5166D" w:rsidRPr="00D11C54" w:rsidRDefault="00623797">
      <w:pPr>
        <w:pStyle w:val="a3"/>
        <w:spacing w:before="3" w:line="256" w:lineRule="auto"/>
        <w:ind w:left="2721" w:right="103" w:firstLine="431"/>
        <w:jc w:val="both"/>
        <w:rPr>
          <w:lang w:val="el-GR"/>
        </w:rPr>
      </w:pPr>
      <w:r w:rsidRPr="00D11C54">
        <w:rPr>
          <w:lang w:val="el-GR"/>
        </w:rPr>
        <w:t>Αρχικά, οι πρώτες μελέτες [</w:t>
      </w:r>
      <w:hyperlink w:anchor="_bookmark22" w:history="1">
        <w:r w:rsidRPr="00D11C54">
          <w:rPr>
            <w:color w:val="0774B7"/>
            <w:lang w:val="el-GR"/>
          </w:rPr>
          <w:t>16,17</w:t>
        </w:r>
      </w:hyperlink>
      <w:hyperlink w:anchor="_bookmark23" w:history="1"/>
      <w:r w:rsidRPr="00D11C54">
        <w:rPr>
          <w:lang w:val="el-GR"/>
        </w:rPr>
        <w:t xml:space="preserve">] που διεξήχθησαν με φοιτητές </w:t>
      </w:r>
      <w:r>
        <w:t>SLD</w:t>
      </w:r>
      <w:r w:rsidRPr="00D11C54">
        <w:rPr>
          <w:lang w:val="el-GR"/>
        </w:rPr>
        <w:t xml:space="preserve"> τόνισαν τη σημασία της χρήσης αντισταθμιστικών εργαλείων για να τους βοηθήσουν να ανακτήσουν αμέσως κενά στις μαθησιακές τους διαδικασίες. Από την άποψη αυτή, οι στρατηγικές αποζημίωσης είναι απαραίτητες για την ακαδημαϊκή τους επιτυχία, </w:t>
      </w:r>
      <w:r w:rsidRPr="00D11C54">
        <w:rPr>
          <w:w w:val="105"/>
          <w:lang w:val="el-GR"/>
        </w:rPr>
        <w:t>ιδίως στις στρατηγικές σπουδών και επιδόσεων [</w:t>
      </w:r>
      <w:hyperlink w:anchor="_bookmark23" w:history="1">
        <w:r w:rsidRPr="00D11C54">
          <w:rPr>
            <w:color w:val="0774B7"/>
            <w:w w:val="105"/>
            <w:lang w:val="el-GR"/>
          </w:rPr>
          <w:t>17</w:t>
        </w:r>
      </w:hyperlink>
      <w:r w:rsidRPr="00D11C54">
        <w:rPr>
          <w:w w:val="105"/>
          <w:lang w:val="el-GR"/>
        </w:rPr>
        <w:t xml:space="preserve">]. Οι στρατηγικές αποζημίωσης ορίζονται </w:t>
      </w:r>
      <w:r w:rsidRPr="00D11C54">
        <w:rPr>
          <w:lang w:val="el-GR"/>
        </w:rPr>
        <w:t>ως στρατηγικές μάθησης που χρησιμοποιούνται για να «παρέχουν τρόπους αντιστάθμισης ενός μαθησιακού προβλήματος» [</w:t>
      </w:r>
      <w:hyperlink w:anchor="_bookmark24" w:history="1">
        <w:r w:rsidRPr="00D11C54">
          <w:rPr>
            <w:color w:val="0774B7"/>
            <w:lang w:val="el-GR"/>
          </w:rPr>
          <w:t>18</w:t>
        </w:r>
      </w:hyperlink>
      <w:r w:rsidRPr="00D11C54">
        <w:rPr>
          <w:lang w:val="el-GR"/>
        </w:rPr>
        <w:t xml:space="preserve">]. </w:t>
      </w:r>
      <w:r w:rsidRPr="00D11C54">
        <w:rPr>
          <w:w w:val="105"/>
          <w:lang w:val="el-GR"/>
        </w:rPr>
        <w:t xml:space="preserve">Ως εκ τούτου, κάθε μαθητής με </w:t>
      </w:r>
      <w:r>
        <w:rPr>
          <w:w w:val="105"/>
        </w:rPr>
        <w:t>SLD</w:t>
      </w:r>
      <w:r w:rsidRPr="00D11C54">
        <w:rPr>
          <w:w w:val="105"/>
          <w:lang w:val="el-GR"/>
        </w:rPr>
        <w:t xml:space="preserve"> πρέπει να είναι σε θέση να χρησιμοποιήσει το καταλληλότερο </w:t>
      </w:r>
      <w:r>
        <w:rPr>
          <w:w w:val="105"/>
        </w:rPr>
        <w:t>compen</w:t>
      </w:r>
      <w:r w:rsidRPr="00D11C54">
        <w:rPr>
          <w:w w:val="105"/>
          <w:lang w:val="el-GR"/>
        </w:rPr>
        <w:t>-</w:t>
      </w:r>
    </w:p>
    <w:p w14:paraId="637C968E" w14:textId="77777777" w:rsidR="00F5166D" w:rsidRPr="00D11C54" w:rsidRDefault="00F5166D">
      <w:pPr>
        <w:spacing w:line="256" w:lineRule="auto"/>
        <w:jc w:val="both"/>
        <w:rPr>
          <w:lang w:val="el-GR"/>
        </w:rPr>
        <w:sectPr w:rsidR="00F5166D" w:rsidRPr="00D11C54">
          <w:headerReference w:type="default" r:id="rId32"/>
          <w:pgSz w:w="11910" w:h="16840"/>
          <w:pgMar w:top="1400" w:right="580" w:bottom="280" w:left="600" w:header="1109" w:footer="0" w:gutter="0"/>
          <w:pgNumType w:start="1035"/>
          <w:cols w:space="720"/>
        </w:sectPr>
      </w:pPr>
    </w:p>
    <w:p w14:paraId="3DA8ACD6" w14:textId="77777777" w:rsidR="00F5166D" w:rsidRPr="00D11C54" w:rsidRDefault="00F5166D">
      <w:pPr>
        <w:pStyle w:val="a3"/>
        <w:rPr>
          <w:lang w:val="el-GR"/>
        </w:rPr>
      </w:pPr>
    </w:p>
    <w:p w14:paraId="0AFB7320" w14:textId="77777777" w:rsidR="00F5166D" w:rsidRPr="00D11C54" w:rsidRDefault="00F5166D">
      <w:pPr>
        <w:pStyle w:val="a3"/>
        <w:spacing w:before="6"/>
        <w:rPr>
          <w:sz w:val="21"/>
          <w:lang w:val="el-GR"/>
        </w:rPr>
      </w:pPr>
    </w:p>
    <w:p w14:paraId="6B7C3CE2" w14:textId="77777777" w:rsidR="00F5166D" w:rsidRPr="00D11C54" w:rsidRDefault="00623797">
      <w:pPr>
        <w:pStyle w:val="a3"/>
        <w:spacing w:line="256" w:lineRule="auto"/>
        <w:ind w:left="2721" w:right="103" w:firstLine="5"/>
        <w:jc w:val="right"/>
        <w:rPr>
          <w:lang w:val="el-GR"/>
        </w:rPr>
      </w:pPr>
      <w:r>
        <w:t>satory</w:t>
      </w:r>
      <w:r w:rsidRPr="00D11C54">
        <w:rPr>
          <w:lang w:val="el-GR"/>
        </w:rPr>
        <w:t xml:space="preserve"> εργαλεία για τη διαταραχή τους. Τα κύρια αντισταθμιστικά εργαλεία που χρησιμοποιούνται από τους μαθητές με </w:t>
      </w:r>
      <w:r>
        <w:t>SLD</w:t>
      </w:r>
      <w:r w:rsidRPr="00D11C54">
        <w:rPr>
          <w:lang w:val="el-GR"/>
        </w:rPr>
        <w:t xml:space="preserve"> είναι οι εννοιολογικοί χάρτες (ένας τύπος γραφικού διοργανωτή που χρησιμοποιείται για να βοηθήσει τους μαθητές να οργανώσουν και να αναπαραστήσουν τη γνώση ενός θέματος). σύνθεση ομιλίας (η τεχνητή παραγωγή ανθρώπινης ομιλίας που χρησιμοποιείται για να βοηθήσει τους μαθητές που αγωνίζονται με την ανάγνωση). ορθογραφικός έλεγχος (συσκευές που βοηθούν τους μαθητές να εντοπίζουν κατάλληλες λέξεις και να διορθώνουν ορθογραφικά λάθη κατά τη διαδικασία γραφής και διόρθωσης)· περιλήψεις και φόρμες (για να βοηθήσουν τους μαθητές να συνοψίσουν τις κύριες έννοιες ενός θέματος). Επιπλέον, η παρακολούθηση εξειδικευμένων προγραμμάτων μετά το σχολείο είναι επίσης απαραίτητη για τους μαθητές με </w:t>
      </w:r>
      <w:r>
        <w:t>SLD</w:t>
      </w:r>
      <w:r w:rsidRPr="00D11C54">
        <w:rPr>
          <w:lang w:val="el-GR"/>
        </w:rPr>
        <w:t xml:space="preserve"> για να αποκτήσουν ακαδημαϊκές δεξιότητες και να αναπτύξουν κατάλληλες κοινωνικές δεξιότητες [</w:t>
      </w:r>
      <w:hyperlink w:anchor="_bookmark22" w:history="1">
        <w:r w:rsidRPr="00D11C54">
          <w:rPr>
            <w:color w:val="0774B7"/>
            <w:lang w:val="el-GR"/>
          </w:rPr>
          <w:t>16</w:t>
        </w:r>
      </w:hyperlink>
      <w:r w:rsidRPr="00D11C54">
        <w:rPr>
          <w:lang w:val="el-GR"/>
        </w:rPr>
        <w:t>]. Ωστόσο, αν και η χρήση εξωτερικών στρατηγικών, όπως αντισταθμιστικά εργαλεία, είναι χρήσιμη-</w:t>
      </w:r>
    </w:p>
    <w:p w14:paraId="18389507" w14:textId="77777777" w:rsidR="00F5166D" w:rsidRPr="00D11C54" w:rsidRDefault="00623797">
      <w:pPr>
        <w:pStyle w:val="a3"/>
        <w:spacing w:before="2" w:line="256" w:lineRule="auto"/>
        <w:ind w:left="2721" w:right="104" w:firstLine="5"/>
        <w:jc w:val="both"/>
        <w:rPr>
          <w:lang w:val="el-GR"/>
        </w:rPr>
      </w:pPr>
      <w:r w:rsidRPr="00D11C54">
        <w:rPr>
          <w:lang w:val="el-GR"/>
        </w:rPr>
        <w:t xml:space="preserve">Για τη βελτίωση των ακαδημαϊκών επιδόσεων των σπουδαστών με ΣΔ, η βιβλιογραφία υπογραμμίζει τον τρόπο με τον οποίο η τελευταία υστερεί σημαντικά στη χρήση εγγενών στρατηγικών. Οι μαθητές με ΣΜΔ παρουσιάζουν ελλείμματα στις κοινωνικές και συναισθηματικές ικανότητες, την αυτορρύθμιση και την ανάπτυξη μεταγνωστικών δεξιοτήτων. Αρκετές μελέτες δείχνουν ότι, σε σύγκριση με τους συνομηλίκους τους χωρίς </w:t>
      </w:r>
      <w:r>
        <w:t>SLD</w:t>
      </w:r>
      <w:r w:rsidRPr="00D11C54">
        <w:rPr>
          <w:lang w:val="el-GR"/>
        </w:rPr>
        <w:t xml:space="preserve">, οι μαθητές με </w:t>
      </w:r>
      <w:r>
        <w:t>SLD</w:t>
      </w:r>
      <w:r w:rsidRPr="00D11C54">
        <w:rPr>
          <w:lang w:val="el-GR"/>
        </w:rPr>
        <w:t xml:space="preserve"> έχουν χαμηλότερες κοινωνικο-συναισθηματικές ικανότητες</w:t>
      </w:r>
      <w:hyperlink w:anchor="_bookmark25" w:history="1">
        <w:r w:rsidRPr="00D11C54">
          <w:rPr>
            <w:color w:val="0774B7"/>
            <w:lang w:val="el-GR"/>
          </w:rPr>
          <w:t xml:space="preserve"> [19</w:t>
        </w:r>
      </w:hyperlink>
      <w:r w:rsidRPr="00D11C54">
        <w:rPr>
          <w:lang w:val="el-GR"/>
        </w:rPr>
        <w:t>–</w:t>
      </w:r>
      <w:hyperlink w:anchor="_bookmark26" w:history="1">
        <w:r w:rsidRPr="00D11C54">
          <w:rPr>
            <w:color w:val="0774B7"/>
            <w:lang w:val="el-GR"/>
          </w:rPr>
          <w:t>21</w:t>
        </w:r>
      </w:hyperlink>
      <w:r w:rsidRPr="00D11C54">
        <w:rPr>
          <w:lang w:val="el-GR"/>
        </w:rPr>
        <w:t>] και φτωχές μεταγνωστικές γνώσεις [</w:t>
      </w:r>
      <w:hyperlink w:anchor="_bookmark27" w:history="1">
        <w:r w:rsidRPr="00D11C54">
          <w:rPr>
            <w:color w:val="0774B7"/>
            <w:lang w:val="el-GR"/>
          </w:rPr>
          <w:t>22,23</w:t>
        </w:r>
      </w:hyperlink>
      <w:hyperlink w:anchor="_bookmark28" w:history="1"/>
      <w:r w:rsidRPr="00D11C54">
        <w:rPr>
          <w:lang w:val="el-GR"/>
        </w:rPr>
        <w:t>]. Υπό το φως αυτών των εμπειρικών στοιχείων, η έρευνα άρχισε να εμβαθύνει τα ζητήματα που σχετίζονται με όλες αυτές τις ατομικές διαπροσωπικές και ενδοπροσωπικές ικανότητες, όπως η επικοινωνία, η επίλυση συγκρούσεων, η διαπροσωπική προσαρμογή, η αυτοαποτελεσματικότητα, οι μεταγνωστικές δεξιότητες και άλλες προσωπικές ιδιότητες [</w:t>
      </w:r>
      <w:hyperlink w:anchor="_bookmark29" w:history="1">
        <w:r w:rsidRPr="00D11C54">
          <w:rPr>
            <w:color w:val="0774B7"/>
            <w:lang w:val="el-GR"/>
          </w:rPr>
          <w:t>24,25</w:t>
        </w:r>
      </w:hyperlink>
      <w:hyperlink w:anchor="_bookmark30" w:history="1"/>
      <w:r w:rsidRPr="00D11C54">
        <w:rPr>
          <w:lang w:val="el-GR"/>
        </w:rPr>
        <w:t>]. Τέτοιες δεξιότητες ορίζονται συνήθως ως «μαλακές δεξιότητες» και αναλύονται ως προστατευτικός παράγοντας για τη βέλτιστη ανάπτυξη των εφήβων. Για τους λόγους αυτούς, αυτή η μελέτη είχε ως στόχο να διερευνήσει τις συσχετίσεις μεταξύ της διαπροσωπικής προσαρμογής, της αυτοαποτελεσματικότητας και των μεταγνωστικών στρατηγικών των εφήβων με και χωρίς συγκεκριμένη μαθησιακή διαταραχή.</w:t>
      </w:r>
    </w:p>
    <w:p w14:paraId="4DB9E8D0" w14:textId="77777777" w:rsidR="00F5166D" w:rsidRPr="00D11C54" w:rsidRDefault="00623797">
      <w:pPr>
        <w:pStyle w:val="a5"/>
        <w:numPr>
          <w:ilvl w:val="1"/>
          <w:numId w:val="3"/>
        </w:numPr>
        <w:tabs>
          <w:tab w:val="left" w:pos="3089"/>
        </w:tabs>
        <w:spacing w:before="179"/>
        <w:ind w:hanging="362"/>
        <w:rPr>
          <w:rFonts w:ascii="Palatino Linotype"/>
          <w:i/>
          <w:sz w:val="20"/>
          <w:lang w:val="el-GR"/>
        </w:rPr>
      </w:pPr>
      <w:bookmarkStart w:id="1" w:name="Interpersonal_Adaptation,_Self-Efficacy,"/>
      <w:bookmarkEnd w:id="1"/>
      <w:r w:rsidRPr="00D11C54">
        <w:rPr>
          <w:rFonts w:ascii="Palatino Linotype"/>
          <w:i/>
          <w:sz w:val="20"/>
          <w:lang w:val="el-GR"/>
        </w:rPr>
        <w:t>Διαπροσωπική</w:t>
      </w:r>
      <w:r w:rsidRPr="00D11C54">
        <w:rPr>
          <w:rFonts w:ascii="Palatino Linotype"/>
          <w:i/>
          <w:sz w:val="20"/>
          <w:lang w:val="el-GR"/>
        </w:rPr>
        <w:t xml:space="preserve"> </w:t>
      </w:r>
      <w:r w:rsidRPr="00D11C54">
        <w:rPr>
          <w:rFonts w:ascii="Palatino Linotype"/>
          <w:i/>
          <w:sz w:val="20"/>
          <w:lang w:val="el-GR"/>
        </w:rPr>
        <w:t>προσαρμογή</w:t>
      </w:r>
      <w:r w:rsidRPr="00D11C54">
        <w:rPr>
          <w:rFonts w:ascii="Palatino Linotype"/>
          <w:i/>
          <w:sz w:val="20"/>
          <w:lang w:val="el-GR"/>
        </w:rPr>
        <w:t xml:space="preserve">, </w:t>
      </w:r>
      <w:r w:rsidRPr="00D11C54">
        <w:rPr>
          <w:rFonts w:ascii="Palatino Linotype"/>
          <w:i/>
          <w:sz w:val="20"/>
          <w:lang w:val="el-GR"/>
        </w:rPr>
        <w:t>αυτοαποτελεσματικότητα</w:t>
      </w:r>
      <w:r w:rsidRPr="00D11C54">
        <w:rPr>
          <w:rFonts w:ascii="Palatino Linotype"/>
          <w:i/>
          <w:sz w:val="20"/>
          <w:lang w:val="el-GR"/>
        </w:rPr>
        <w:t xml:space="preserve"> </w:t>
      </w:r>
      <w:r w:rsidRPr="00D11C54">
        <w:rPr>
          <w:rFonts w:ascii="Palatino Linotype"/>
          <w:i/>
          <w:sz w:val="20"/>
          <w:lang w:val="el-GR"/>
        </w:rPr>
        <w:t>και</w:t>
      </w:r>
      <w:r w:rsidRPr="00D11C54">
        <w:rPr>
          <w:rFonts w:ascii="Palatino Linotype"/>
          <w:i/>
          <w:sz w:val="20"/>
          <w:lang w:val="el-GR"/>
        </w:rPr>
        <w:t xml:space="preserve"> </w:t>
      </w:r>
      <w:r w:rsidRPr="00D11C54">
        <w:rPr>
          <w:rFonts w:ascii="Palatino Linotype"/>
          <w:i/>
          <w:sz w:val="20"/>
          <w:lang w:val="el-GR"/>
        </w:rPr>
        <w:t>μεταγνωστικές</w:t>
      </w:r>
      <w:r w:rsidRPr="00D11C54">
        <w:rPr>
          <w:rFonts w:ascii="Palatino Linotype"/>
          <w:i/>
          <w:sz w:val="20"/>
          <w:lang w:val="el-GR"/>
        </w:rPr>
        <w:t xml:space="preserve"> </w:t>
      </w:r>
      <w:r w:rsidRPr="00D11C54">
        <w:rPr>
          <w:rFonts w:ascii="Palatino Linotype"/>
          <w:i/>
          <w:sz w:val="20"/>
          <w:lang w:val="el-GR"/>
        </w:rPr>
        <w:t>δεξιότητες</w:t>
      </w:r>
    </w:p>
    <w:p w14:paraId="70254109" w14:textId="77777777" w:rsidR="00F5166D" w:rsidRPr="00D11C54" w:rsidRDefault="00623797">
      <w:pPr>
        <w:pStyle w:val="a3"/>
        <w:spacing w:before="61" w:line="256" w:lineRule="auto"/>
        <w:ind w:left="2717" w:right="98" w:firstLine="435"/>
        <w:jc w:val="both"/>
        <w:rPr>
          <w:lang w:val="el-GR"/>
        </w:rPr>
      </w:pPr>
      <w:r w:rsidRPr="00D11C54">
        <w:rPr>
          <w:w w:val="105"/>
          <w:lang w:val="el-GR"/>
        </w:rPr>
        <w:t xml:space="preserve">Μια πρώτη σημαντική ψυχολογική μεταβλητή που πρέπει να λαμβάνεται υπόψη κατά τη μελέτη μιας συγκεκριμένης </w:t>
      </w:r>
      <w:r w:rsidRPr="00D11C54">
        <w:rPr>
          <w:lang w:val="el-GR"/>
        </w:rPr>
        <w:t xml:space="preserve">μαθησιακής διαταραχής είναι η διαπροσωπική προσαρμογή, κατανοητή ως ο βαθμός προσαρμογής των μαθητών </w:t>
      </w:r>
      <w:r w:rsidRPr="00D11C54">
        <w:rPr>
          <w:w w:val="105"/>
          <w:lang w:val="el-GR"/>
        </w:rPr>
        <w:t xml:space="preserve">παρά τις δυσκολίες. Στη βιβλιογραφία, η διαπροσωπική προσαρμογή ορίζεται ως οι διαδικασίες </w:t>
      </w:r>
      <w:r w:rsidRPr="00D11C54">
        <w:rPr>
          <w:lang w:val="el-GR"/>
        </w:rPr>
        <w:t>που συμβαίνουν στις ανθρώπινες σχέσεις όταν οι άνθρωποι προσαρμόζουν αμοιβαία τις συμπεριφορές τους σε εκείνες των άλλων [</w:t>
      </w:r>
      <w:hyperlink w:anchor="_bookmark31" w:history="1">
        <w:r w:rsidRPr="00D11C54">
          <w:rPr>
            <w:color w:val="0774B7"/>
            <w:lang w:val="el-GR"/>
          </w:rPr>
          <w:t>26,27</w:t>
        </w:r>
      </w:hyperlink>
      <w:hyperlink w:anchor="_bookmark32" w:history="1"/>
      <w:r w:rsidRPr="00D11C54">
        <w:rPr>
          <w:lang w:val="el-GR"/>
        </w:rPr>
        <w:t xml:space="preserve">]. Πιο συγκεκριμένα, σύμφωνα με τους </w:t>
      </w:r>
      <w:r>
        <w:t>Di</w:t>
      </w:r>
      <w:r w:rsidRPr="00D11C54">
        <w:rPr>
          <w:lang w:val="el-GR"/>
        </w:rPr>
        <w:t xml:space="preserve"> </w:t>
      </w:r>
      <w:r>
        <w:t>Nuovo</w:t>
      </w:r>
      <w:r w:rsidRPr="00D11C54">
        <w:rPr>
          <w:lang w:val="el-GR"/>
        </w:rPr>
        <w:t xml:space="preserve"> και </w:t>
      </w:r>
      <w:r>
        <w:t>Magnano</w:t>
      </w:r>
      <w:r w:rsidRPr="00D11C54">
        <w:rPr>
          <w:lang w:val="el-GR"/>
        </w:rPr>
        <w:t xml:space="preserve"> [</w:t>
      </w:r>
      <w:hyperlink w:anchor="_bookmark33" w:history="1">
        <w:r w:rsidRPr="00D11C54">
          <w:rPr>
            <w:color w:val="0774B7"/>
            <w:lang w:val="el-GR"/>
          </w:rPr>
          <w:t>28,29</w:t>
        </w:r>
      </w:hyperlink>
      <w:hyperlink w:anchor="_bookmark34" w:history="1"/>
      <w:r w:rsidRPr="00D11C54">
        <w:rPr>
          <w:lang w:val="el-GR"/>
        </w:rPr>
        <w:t xml:space="preserve">], η διαπροσωπική </w:t>
      </w:r>
      <w:r w:rsidRPr="00D11C54">
        <w:rPr>
          <w:w w:val="105"/>
          <w:lang w:val="el-GR"/>
        </w:rPr>
        <w:t xml:space="preserve">προσαρμογή μπορεί να οριστεί ως οι δεξιότητες και οι συμπεριφορές που πρέπει να διαθέτει το άτομο προκειμένου να εισέλθει σε προσαρμοστικές και θετικές σχέσεις με άλλους ανθρώπους και κοινωνικές ομάδες. Η παρουσία δυσκολιών σε αυτές τις περιοχές μπορεί να οδηγήσει σε δυσάρεστες καταστάσεις που, εάν παραταθούν εγκαίρως, μπορούν να οδηγήσουν σε πραγματικές συνθήκες κακής προσαρμογής. Αυτές οι «μαλακές δεξιότητες» </w:t>
      </w:r>
      <w:r w:rsidRPr="00D11C54">
        <w:rPr>
          <w:lang w:val="el-GR"/>
        </w:rPr>
        <w:t xml:space="preserve">αποτελούνται από διαφορετικές ψυχολογικές διαστάσεις (παθητικότητα, παρορμητικότητα, ναρκισσισμός, ανησυχία για </w:t>
      </w:r>
      <w:r w:rsidRPr="00D11C54">
        <w:rPr>
          <w:w w:val="105"/>
          <w:lang w:val="el-GR"/>
        </w:rPr>
        <w:t xml:space="preserve"> την εικόνα του εαυτού και κοινωνικό άγχος) που εξηγούν το βαθμό των ατομικών δυσκολιών προσαρμογής στις </w:t>
      </w:r>
      <w:r w:rsidRPr="00D11C54">
        <w:rPr>
          <w:lang w:val="el-GR"/>
        </w:rPr>
        <w:t xml:space="preserve">διαπροσωπικές σχέσεις. Τα χαμηλά επίπεδα αυτοπεποίθησης χαρακτηρίζουν τη </w:t>
      </w:r>
      <w:r w:rsidRPr="00D11C54">
        <w:rPr>
          <w:w w:val="105"/>
          <w:lang w:val="el-GR"/>
        </w:rPr>
        <w:t xml:space="preserve">διάσταση της παθητικότητας, κατανοητή ως την ικανότητα να επιβεβαιώνει κανείς τις δικές του ανάγκες και να υπερασπίζεται τις ιδέες του χωρίς να προκαλεί πόνο στους άλλους και αποφεύγοντας τις συγκρουόμενες σχέσεις. η παρορμητικότητα αναφέρεται στην τάση εφαρμογής δυσλειτουργικών αντιδράσεων σε διφορούμενες καταστάσεις. η ανησυχία για την εικόνα του εαυτού θεωρείται από την άποψη της έντασης που προέρχεται από το άγχος που προκαλείται από την κρίση των άλλων και από χαμηλότερα επίπεδα αυτοεκτίμησης. αναγνωρίζεται το κοινωνικό άγχος στην ανικανότητα διαχείρισης των κοινωνικών καταστάσεων, όπως η αποτελεσματική δημόσια ομιλία. Στην προηγούμενη βιβλιογραφία, δεν υπάρχουν εμπειρικά στοιχεία που να υπογραμμίζουν τη σχέση μεταξύ της διαπροσωπικής προσαρμογής και της διάγνωσης της ΣΛΔ. Σε γενικές γραμμές, αρκετές μελέτες επιβεβαιώνουν </w:t>
      </w:r>
      <w:r w:rsidRPr="00D11C54">
        <w:rPr>
          <w:lang w:val="el-GR"/>
        </w:rPr>
        <w:t xml:space="preserve">ότι οι μαθητές </w:t>
      </w:r>
      <w:r>
        <w:t>SLD</w:t>
      </w:r>
      <w:r w:rsidRPr="00D11C54">
        <w:rPr>
          <w:lang w:val="el-GR"/>
        </w:rPr>
        <w:t xml:space="preserve"> αναφέρουν χαμηλότερα επίπεδα κοινωνικής προσαρμογής από τους συνομηλίκους τους χωρίς </w:t>
      </w:r>
      <w:r>
        <w:t>SLD</w:t>
      </w:r>
      <w:r w:rsidRPr="00D11C54">
        <w:rPr>
          <w:lang w:val="el-GR"/>
        </w:rPr>
        <w:t xml:space="preserve"> [</w:t>
      </w:r>
      <w:hyperlink w:anchor="_bookmark18" w:history="1">
        <w:r w:rsidRPr="00D11C54">
          <w:rPr>
            <w:color w:val="0774B7"/>
            <w:lang w:val="el-GR"/>
          </w:rPr>
          <w:t>12,30</w:t>
        </w:r>
      </w:hyperlink>
      <w:r w:rsidRPr="00D11C54">
        <w:rPr>
          <w:lang w:val="el-GR"/>
        </w:rPr>
        <w:t>–</w:t>
      </w:r>
      <w:hyperlink w:anchor="_bookmark35" w:history="1"/>
      <w:r w:rsidRPr="00D11C54">
        <w:rPr>
          <w:lang w:val="el-GR"/>
        </w:rPr>
        <w:t>32</w:t>
      </w:r>
      <w:hyperlink w:anchor="_bookmark37" w:history="1"/>
      <w:r w:rsidRPr="00D11C54">
        <w:rPr>
          <w:lang w:val="el-GR"/>
        </w:rPr>
        <w:t xml:space="preserve">]. Ο </w:t>
      </w:r>
      <w:r>
        <w:t>Wiener</w:t>
      </w:r>
      <w:r w:rsidRPr="00D11C54">
        <w:rPr>
          <w:lang w:val="el-GR"/>
        </w:rPr>
        <w:t xml:space="preserve"> [</w:t>
      </w:r>
      <w:hyperlink w:anchor="_bookmark18" w:history="1">
        <w:r w:rsidRPr="00D11C54">
          <w:rPr>
            <w:color w:val="0774B7"/>
            <w:lang w:val="el-GR"/>
          </w:rPr>
          <w:t>12</w:t>
        </w:r>
      </w:hyperlink>
      <w:r w:rsidRPr="00D11C54">
        <w:rPr>
          <w:lang w:val="el-GR"/>
        </w:rPr>
        <w:t xml:space="preserve">] έδειξε ότι η ικανότητα δημιουργίας καλών σχέσεων με τους συνομηλίκους θα μπορούσε να προωθήσει την κοινωνική προσαρμογή των εφήβων, ιδιαίτερα των εφήβων με </w:t>
      </w:r>
      <w:r>
        <w:t>SLD</w:t>
      </w:r>
      <w:r w:rsidRPr="00D11C54">
        <w:rPr>
          <w:lang w:val="el-GR"/>
        </w:rPr>
        <w:t xml:space="preserve">. Σε σύγκριση με τους συνομηλίκους τους, </w:t>
      </w:r>
      <w:r w:rsidRPr="00D11C54">
        <w:rPr>
          <w:w w:val="105"/>
          <w:lang w:val="el-GR"/>
        </w:rPr>
        <w:t xml:space="preserve">οι τελευταίοι παρουσίασαν πιο σημαντικά ελλείμματα στις κοινωνικές δεξιότητες και την επίλυση κοινωνικών προβλημάτων. Επιπλέον, οι δύο ομάδες είχαν πολλές διαφορές όσον αφορά τις φιλίες, τις εμπειρίες θυματοποίησης από συνομηλίκους και τη μοναξιά. Οι μαθητές με </w:t>
      </w:r>
      <w:r>
        <w:rPr>
          <w:w w:val="105"/>
        </w:rPr>
        <w:t>SLD</w:t>
      </w:r>
      <w:r w:rsidRPr="00D11C54">
        <w:rPr>
          <w:w w:val="105"/>
          <w:lang w:val="el-GR"/>
        </w:rPr>
        <w:t xml:space="preserve"> ήταν λιγότερο πιθανό να είναι κοινωνικά </w:t>
      </w:r>
      <w:r w:rsidRPr="00D11C54">
        <w:rPr>
          <w:lang w:val="el-GR"/>
        </w:rPr>
        <w:t xml:space="preserve">αποδεκτοί και πιο πιθανό να απορριφθούν από τους συνομηλίκους τους χωρίς </w:t>
      </w:r>
      <w:r>
        <w:t>SLD</w:t>
      </w:r>
      <w:r w:rsidRPr="00D11C54">
        <w:rPr>
          <w:lang w:val="el-GR"/>
        </w:rPr>
        <w:t xml:space="preserve">. Ο συγγραφέας επιβεβαιώνει </w:t>
      </w:r>
      <w:r w:rsidRPr="00D11C54">
        <w:rPr>
          <w:w w:val="105"/>
          <w:lang w:val="el-GR"/>
        </w:rPr>
        <w:t xml:space="preserve">ότι η προώθηση θετικών σχέσεων με τους συνομηλίκους μπορεί να μειώσει τις διαφορές στο σχολικό και κοινωνικό πλαίσιο. Επιπλέον, οι </w:t>
      </w:r>
      <w:r>
        <w:rPr>
          <w:w w:val="105"/>
        </w:rPr>
        <w:t>Mirzakhany</w:t>
      </w:r>
      <w:r w:rsidRPr="00D11C54">
        <w:rPr>
          <w:w w:val="105"/>
          <w:lang w:val="el-GR"/>
        </w:rPr>
        <w:t xml:space="preserve"> </w:t>
      </w:r>
      <w:r>
        <w:rPr>
          <w:w w:val="105"/>
        </w:rPr>
        <w:t>et</w:t>
      </w:r>
      <w:r w:rsidRPr="00D11C54">
        <w:rPr>
          <w:w w:val="105"/>
          <w:lang w:val="el-GR"/>
        </w:rPr>
        <w:t xml:space="preserve"> </w:t>
      </w:r>
      <w:r>
        <w:rPr>
          <w:w w:val="105"/>
        </w:rPr>
        <w:t>al</w:t>
      </w:r>
      <w:r w:rsidRPr="00D11C54">
        <w:rPr>
          <w:w w:val="105"/>
          <w:lang w:val="el-GR"/>
        </w:rPr>
        <w:t>. [</w:t>
      </w:r>
      <w:hyperlink w:anchor="_bookmark38" w:history="1">
        <w:r w:rsidRPr="00D11C54">
          <w:rPr>
            <w:color w:val="0774B7"/>
            <w:w w:val="105"/>
            <w:lang w:val="el-GR"/>
          </w:rPr>
          <w:t>33</w:t>
        </w:r>
      </w:hyperlink>
      <w:r w:rsidRPr="00D11C54">
        <w:rPr>
          <w:w w:val="105"/>
          <w:lang w:val="el-GR"/>
        </w:rPr>
        <w:t xml:space="preserve">] ανέλυσαν τις δεξιότητες αυτοπεποίθησης και το άγχος 80 μαθητών με μαθησιακή διαταραχή και τυπικών συνομηλίκων σε σχολεία στην Τεχεράνη. Τα αποτελέσματα </w:t>
      </w:r>
      <w:r w:rsidRPr="00D11C54">
        <w:rPr>
          <w:lang w:val="el-GR"/>
        </w:rPr>
        <w:t xml:space="preserve">δείχνουν ότι οι έφηβοι με </w:t>
      </w:r>
      <w:r>
        <w:t>SLD</w:t>
      </w:r>
      <w:r w:rsidRPr="00D11C54">
        <w:rPr>
          <w:lang w:val="el-GR"/>
        </w:rPr>
        <w:t xml:space="preserve"> έδειξαν λιγότερες δεξιότητες αυτοπεποίθησης από τους τυπικούς συνομηλίκους.</w:t>
      </w:r>
    </w:p>
    <w:p w14:paraId="603CEF6D" w14:textId="77777777" w:rsidR="00F5166D" w:rsidRPr="00D11C54" w:rsidRDefault="00F5166D">
      <w:pPr>
        <w:spacing w:line="256" w:lineRule="auto"/>
        <w:jc w:val="both"/>
        <w:rPr>
          <w:lang w:val="el-GR"/>
        </w:rPr>
        <w:sectPr w:rsidR="00F5166D" w:rsidRPr="00D11C54">
          <w:pgSz w:w="11910" w:h="16840"/>
          <w:pgMar w:top="1400" w:right="580" w:bottom="280" w:left="600" w:header="1109" w:footer="0" w:gutter="0"/>
          <w:cols w:space="720"/>
        </w:sectPr>
      </w:pPr>
    </w:p>
    <w:p w14:paraId="1CBA1DDD" w14:textId="77777777" w:rsidR="00F5166D" w:rsidRPr="00D11C54" w:rsidRDefault="00F5166D">
      <w:pPr>
        <w:pStyle w:val="a3"/>
        <w:rPr>
          <w:lang w:val="el-GR"/>
        </w:rPr>
      </w:pPr>
    </w:p>
    <w:p w14:paraId="2B186507" w14:textId="77777777" w:rsidR="00F5166D" w:rsidRPr="00D11C54" w:rsidRDefault="00F5166D">
      <w:pPr>
        <w:pStyle w:val="a3"/>
        <w:spacing w:before="6"/>
        <w:rPr>
          <w:sz w:val="21"/>
          <w:lang w:val="el-GR"/>
        </w:rPr>
      </w:pPr>
    </w:p>
    <w:p w14:paraId="61E88ACB" w14:textId="77777777" w:rsidR="00F5166D" w:rsidRPr="00D11C54" w:rsidRDefault="00623797">
      <w:pPr>
        <w:pStyle w:val="a3"/>
        <w:spacing w:line="256" w:lineRule="auto"/>
        <w:ind w:left="2727" w:right="131"/>
        <w:jc w:val="both"/>
        <w:rPr>
          <w:lang w:val="el-GR"/>
        </w:rPr>
      </w:pPr>
      <w:r w:rsidRPr="00D11C54">
        <w:rPr>
          <w:lang w:val="el-GR"/>
        </w:rPr>
        <w:t xml:space="preserve">Επίσης, αυτοί οι μαθητές έχουν περισσότερο άγχος από τους τυπικούς συνομηλίκους, αποδεικνύοντας μια αντίστροφη σχέση μεταξύ αυτοπεποίθησης και άγχους. Ομοίως, άλλες μελέτες επιβεβαιώνουν πώς η αυτοπεποίθηση είναι γενικά μια ανεπαρκής κοινωνική δεξιότητα σε μαθητές που έχουν διαγνωστεί με </w:t>
      </w:r>
      <w:r>
        <w:t>SLD</w:t>
      </w:r>
      <w:r w:rsidRPr="00D11C54">
        <w:rPr>
          <w:lang w:val="el-GR"/>
        </w:rPr>
        <w:t xml:space="preserve"> [34,35</w:t>
      </w:r>
      <w:hyperlink w:anchor="_bookmark39" w:history="1">
        <w:r w:rsidRPr="00D11C54">
          <w:rPr>
            <w:color w:val="0774B7"/>
            <w:lang w:val="el-GR"/>
          </w:rPr>
          <w:t>] και τη σημασία ειδικών εκπαιδεύσεων για την προώθηση της κατάλληλης ενίσχυσής της [</w:t>
        </w:r>
      </w:hyperlink>
      <w:hyperlink w:anchor="_bookmark40" w:history="1"/>
      <w:r w:rsidRPr="00D11C54">
        <w:rPr>
          <w:lang w:val="el-GR"/>
        </w:rPr>
        <w:t>36</w:t>
      </w:r>
      <w:hyperlink w:anchor="_bookmark41" w:history="1">
        <w:r w:rsidRPr="00D11C54">
          <w:rPr>
            <w:color w:val="0774B7"/>
            <w:lang w:val="el-GR"/>
          </w:rPr>
          <w:t>].</w:t>
        </w:r>
      </w:hyperlink>
    </w:p>
    <w:p w14:paraId="31217200" w14:textId="77777777" w:rsidR="00F5166D" w:rsidRPr="00D11C54" w:rsidRDefault="00623797">
      <w:pPr>
        <w:pStyle w:val="a3"/>
        <w:spacing w:before="1" w:line="256" w:lineRule="auto"/>
        <w:ind w:left="2727" w:right="103" w:firstLine="425"/>
        <w:jc w:val="both"/>
        <w:rPr>
          <w:lang w:val="el-GR"/>
        </w:rPr>
      </w:pPr>
      <w:r w:rsidRPr="00D11C54">
        <w:rPr>
          <w:lang w:val="el-GR"/>
        </w:rPr>
        <w:t xml:space="preserve">Η αποκατάσταση των ακαδημαϊκών ελλειμμάτων παραμένει ο πρωταρχικός στόχος για τους φοιτητές με </w:t>
      </w:r>
      <w:r>
        <w:t>SLD</w:t>
      </w:r>
      <w:r w:rsidRPr="00D11C54">
        <w:rPr>
          <w:lang w:val="el-GR"/>
        </w:rPr>
        <w:t>. Ωστόσο, η αναγνώριση των ελλειμμάτων κοινωνικών δεξιοτήτων έχει οδηγήσει στην αυξημένη συμπερίληψη της κατάρτισης κοινωνικών δεξιοτήτων ως συμπληρωματικής παρέμβασης. Αυτά τα προγράμματα περιλαμβάνουν συνήθως μια ολοκληρωμένη ποικιλία δεξιοτήτων που καλύπτουν τομείς, όπως η επίλυση κοινωνικών προβλημάτων, η φιλία, η συνομιλία, ο προγραμματισμός και η αντιμετώπιση συναισθημάτων [</w:t>
      </w:r>
      <w:hyperlink w:anchor="_bookmark36" w:history="1">
        <w:r w:rsidRPr="00D11C54">
          <w:rPr>
            <w:color w:val="0774B7"/>
            <w:lang w:val="el-GR"/>
          </w:rPr>
          <w:t>31</w:t>
        </w:r>
      </w:hyperlink>
      <w:r w:rsidRPr="00D11C54">
        <w:rPr>
          <w:lang w:val="el-GR"/>
        </w:rPr>
        <w:t>].</w:t>
      </w:r>
    </w:p>
    <w:p w14:paraId="6B1F452F" w14:textId="77777777" w:rsidR="00F5166D" w:rsidRPr="00D11C54" w:rsidRDefault="00623797">
      <w:pPr>
        <w:pStyle w:val="a3"/>
        <w:spacing w:before="1" w:line="256" w:lineRule="auto"/>
        <w:ind w:left="2719" w:right="103" w:firstLine="433"/>
        <w:jc w:val="both"/>
        <w:rPr>
          <w:lang w:val="el-GR"/>
        </w:rPr>
      </w:pPr>
      <w:r w:rsidRPr="00D11C54">
        <w:rPr>
          <w:w w:val="105"/>
          <w:lang w:val="el-GR"/>
        </w:rPr>
        <w:t xml:space="preserve">Μια άλλη σημαντική πτυχή που πρέπει να επικεντρωθεί κατά τη μελέτη των παραγόντων που βελτιώνουν τις ακαδημαϊκές επιδόσεις των εφήβων με </w:t>
      </w:r>
      <w:r>
        <w:rPr>
          <w:w w:val="105"/>
        </w:rPr>
        <w:t>SLD</w:t>
      </w:r>
      <w:r w:rsidRPr="00D11C54">
        <w:rPr>
          <w:w w:val="105"/>
          <w:lang w:val="el-GR"/>
        </w:rPr>
        <w:t xml:space="preserve"> είναι η έννοια της αυτο-αποτελεσματικότητας. Σύμφωνα με την προοπτική του </w:t>
      </w:r>
      <w:r>
        <w:rPr>
          <w:w w:val="105"/>
        </w:rPr>
        <w:t>Bandura</w:t>
      </w:r>
      <w:r w:rsidRPr="00D11C54">
        <w:rPr>
          <w:w w:val="105"/>
          <w:lang w:val="el-GR"/>
        </w:rPr>
        <w:t>, η αυτο-αποτελεσματικότητα είναι ένα σύνολο πεποιθήσεων του ατόμου που σχετίζονται με την ικανότητά του να σχεδιάζει και να εκτελεί μια σειρά ενεργειών για την επίτευξη επιθυμητών στόχων [</w:t>
      </w:r>
      <w:hyperlink w:anchor="_bookmark42" w:history="1">
        <w:r w:rsidRPr="00D11C54">
          <w:rPr>
            <w:color w:val="0774B7"/>
            <w:w w:val="105"/>
            <w:lang w:val="el-GR"/>
          </w:rPr>
          <w:t>37</w:t>
        </w:r>
      </w:hyperlink>
      <w:r w:rsidRPr="00D11C54">
        <w:rPr>
          <w:w w:val="105"/>
          <w:lang w:val="el-GR"/>
        </w:rPr>
        <w:t xml:space="preserve">]. Επιπλέον, η αυτο-αποτελεσματικότητα παίζει καθοριστικό ρόλο στις επιλογές, τη δέσμευση, την προσπάθεια και την </w:t>
      </w:r>
      <w:r w:rsidRPr="00D11C54">
        <w:rPr>
          <w:lang w:val="el-GR"/>
        </w:rPr>
        <w:t>επιμονή του ατόμου [</w:t>
      </w:r>
      <w:hyperlink w:anchor="_bookmark43" w:history="1">
        <w:r w:rsidRPr="00D11C54">
          <w:rPr>
            <w:color w:val="0774B7"/>
            <w:lang w:val="el-GR"/>
          </w:rPr>
          <w:t>38,39</w:t>
        </w:r>
      </w:hyperlink>
      <w:hyperlink w:anchor="_bookmark44" w:history="1"/>
      <w:r w:rsidRPr="00D11C54">
        <w:rPr>
          <w:lang w:val="el-GR"/>
        </w:rPr>
        <w:t xml:space="preserve">]. Ο </w:t>
      </w:r>
      <w:r>
        <w:t>Bandura</w:t>
      </w:r>
      <w:r w:rsidRPr="00D11C54">
        <w:rPr>
          <w:lang w:val="el-GR"/>
        </w:rPr>
        <w:t xml:space="preserve"> [</w:t>
      </w:r>
      <w:hyperlink w:anchor="_bookmark45" w:history="1">
        <w:r w:rsidRPr="00D11C54">
          <w:rPr>
            <w:color w:val="0774B7"/>
            <w:lang w:val="el-GR"/>
          </w:rPr>
          <w:t>40</w:t>
        </w:r>
      </w:hyperlink>
      <w:r w:rsidRPr="00D11C54">
        <w:rPr>
          <w:lang w:val="el-GR"/>
        </w:rPr>
        <w:t xml:space="preserve">] υποστηρίζει ότι οι άνθρωποι που παρουσιάζουν χαμηλά επίπεδα αυτο-αποτελεσματικότητας στην </w:t>
      </w:r>
      <w:r w:rsidRPr="00D11C54">
        <w:rPr>
          <w:w w:val="105"/>
          <w:lang w:val="el-GR"/>
        </w:rPr>
        <w:t>ολοκλήρωση μιας συγκεκριμένης εργασίας θα τείνουν να το αποφεύγουν. αντίθετα, εκείνοι που εκφράζουν υψηλά επίπεδα αυτο-αποτελεσματικότητας θα αισθάνονται ικανοί και πιο διατεθειμένοι να επιτύχουν τα αποτελέσματα που έχουν τεθεί. Γενικά, μια αυξημένη αντιληπτή αίσθηση αυτο-αποτελεσματικότητας συνδέεται με καλύτερα ακαδημαϊκά επιτεύγματα [</w:t>
      </w:r>
      <w:hyperlink w:anchor="_bookmark46" w:history="1">
        <w:r w:rsidRPr="00D11C54">
          <w:rPr>
            <w:color w:val="0774B7"/>
            <w:w w:val="105"/>
            <w:lang w:val="el-GR"/>
          </w:rPr>
          <w:t>41</w:t>
        </w:r>
      </w:hyperlink>
      <w:r w:rsidRPr="00D11C54">
        <w:rPr>
          <w:w w:val="105"/>
          <w:lang w:val="el-GR"/>
        </w:rPr>
        <w:t>–</w:t>
      </w:r>
      <w:hyperlink w:anchor="_bookmark47" w:history="1">
        <w:r w:rsidRPr="00D11C54">
          <w:rPr>
            <w:color w:val="0774B7"/>
            <w:w w:val="105"/>
            <w:lang w:val="el-GR"/>
          </w:rPr>
          <w:t>46</w:t>
        </w:r>
      </w:hyperlink>
      <w:r w:rsidRPr="00D11C54">
        <w:rPr>
          <w:w w:val="105"/>
          <w:lang w:val="el-GR"/>
        </w:rPr>
        <w:t xml:space="preserve">]. Αυτά τα αποτελέσματα είναι εμφανή αν λάβουμε υπόψη τους μαθητές με </w:t>
      </w:r>
      <w:r>
        <w:rPr>
          <w:w w:val="105"/>
        </w:rPr>
        <w:t>SLD</w:t>
      </w:r>
      <w:r w:rsidRPr="00D11C54">
        <w:rPr>
          <w:w w:val="105"/>
          <w:lang w:val="el-GR"/>
        </w:rPr>
        <w:t xml:space="preserve"> [</w:t>
      </w:r>
      <w:hyperlink w:anchor="_bookmark17" w:history="1">
        <w:r w:rsidRPr="00D11C54">
          <w:rPr>
            <w:color w:val="0774B7"/>
            <w:w w:val="105"/>
            <w:lang w:val="el-GR"/>
          </w:rPr>
          <w:t>11,47</w:t>
        </w:r>
      </w:hyperlink>
      <w:hyperlink w:anchor="_bookmark48" w:history="1"/>
      <w:r w:rsidRPr="00D11C54">
        <w:rPr>
          <w:w w:val="105"/>
          <w:lang w:val="el-GR"/>
        </w:rPr>
        <w:t>–</w:t>
      </w:r>
      <w:hyperlink w:anchor="_bookmark50" w:history="1">
        <w:r w:rsidRPr="00D11C54">
          <w:rPr>
            <w:color w:val="0774B7"/>
            <w:w w:val="105"/>
            <w:lang w:val="el-GR"/>
          </w:rPr>
          <w:t>50</w:t>
        </w:r>
      </w:hyperlink>
      <w:r w:rsidRPr="00D11C54">
        <w:rPr>
          <w:w w:val="105"/>
          <w:lang w:val="el-GR"/>
        </w:rPr>
        <w:t xml:space="preserve">]. Οι </w:t>
      </w:r>
      <w:r>
        <w:rPr>
          <w:w w:val="105"/>
        </w:rPr>
        <w:t>Lackaye</w:t>
      </w:r>
      <w:r w:rsidRPr="00D11C54">
        <w:rPr>
          <w:w w:val="105"/>
          <w:lang w:val="el-GR"/>
        </w:rPr>
        <w:t xml:space="preserve"> </w:t>
      </w:r>
      <w:r>
        <w:rPr>
          <w:w w:val="105"/>
        </w:rPr>
        <w:t>et</w:t>
      </w:r>
      <w:r w:rsidRPr="00D11C54">
        <w:rPr>
          <w:w w:val="105"/>
          <w:lang w:val="el-GR"/>
        </w:rPr>
        <w:t xml:space="preserve"> </w:t>
      </w:r>
      <w:r>
        <w:rPr>
          <w:w w:val="105"/>
        </w:rPr>
        <w:t>al</w:t>
      </w:r>
      <w:r w:rsidRPr="00D11C54">
        <w:rPr>
          <w:w w:val="105"/>
          <w:lang w:val="el-GR"/>
        </w:rPr>
        <w:t>. [</w:t>
      </w:r>
      <w:hyperlink w:anchor="_bookmark17" w:history="1">
        <w:r w:rsidRPr="00D11C54">
          <w:rPr>
            <w:color w:val="0774B7"/>
            <w:w w:val="105"/>
            <w:lang w:val="el-GR"/>
          </w:rPr>
          <w:t>11</w:t>
        </w:r>
      </w:hyperlink>
      <w:r w:rsidRPr="00D11C54">
        <w:rPr>
          <w:w w:val="105"/>
          <w:lang w:val="el-GR"/>
        </w:rPr>
        <w:t xml:space="preserve">] ανέλυσαν την αντιληπτή αυτο-αποτελεσματικότητα, τη διάθεση, την προσπάθεια και την ελπίδα σε μια ομάδα 123 εφήβων με </w:t>
      </w:r>
      <w:r>
        <w:rPr>
          <w:w w:val="105"/>
        </w:rPr>
        <w:t>SLD</w:t>
      </w:r>
      <w:r w:rsidRPr="00D11C54">
        <w:rPr>
          <w:w w:val="105"/>
          <w:lang w:val="el-GR"/>
        </w:rPr>
        <w:t xml:space="preserve"> και 123 χωρίς </w:t>
      </w:r>
      <w:r>
        <w:rPr>
          <w:w w:val="105"/>
        </w:rPr>
        <w:t>SLD</w:t>
      </w:r>
      <w:r w:rsidRPr="00D11C54">
        <w:rPr>
          <w:w w:val="105"/>
          <w:lang w:val="el-GR"/>
        </w:rPr>
        <w:t xml:space="preserve">. Τα αποτελέσματα έδειξαν ότι οι σπουδαστές χωρίς </w:t>
      </w:r>
      <w:r>
        <w:rPr>
          <w:w w:val="105"/>
        </w:rPr>
        <w:t>SLD</w:t>
      </w:r>
      <w:r w:rsidRPr="00D11C54">
        <w:rPr>
          <w:w w:val="105"/>
          <w:lang w:val="el-GR"/>
        </w:rPr>
        <w:t xml:space="preserve"> ανέφεραν υψηλότερη ακαδημαϊκή και κοινωνική αυτο-αποτελεσματικότητα από τους συνομηλίκους τους με </w:t>
      </w:r>
      <w:r>
        <w:rPr>
          <w:w w:val="105"/>
        </w:rPr>
        <w:t>SLD</w:t>
      </w:r>
      <w:r w:rsidRPr="00D11C54">
        <w:rPr>
          <w:w w:val="105"/>
          <w:lang w:val="el-GR"/>
        </w:rPr>
        <w:t xml:space="preserve">. Επιπλέον, οι μαθητές χωρίς </w:t>
      </w:r>
      <w:r>
        <w:rPr>
          <w:w w:val="105"/>
        </w:rPr>
        <w:t>SLD</w:t>
      </w:r>
      <w:r w:rsidRPr="00D11C54">
        <w:rPr>
          <w:w w:val="105"/>
          <w:lang w:val="el-GR"/>
        </w:rPr>
        <w:t xml:space="preserve"> ανέφεραν μεγαλύτερη ελπίδα και μεγάλη προσπάθεια στα ακαδημαϊκά τους καθήκοντα από τους εφήβους με </w:t>
      </w:r>
      <w:r>
        <w:rPr>
          <w:w w:val="105"/>
        </w:rPr>
        <w:t>SLD</w:t>
      </w:r>
      <w:r w:rsidRPr="00D11C54">
        <w:rPr>
          <w:w w:val="105"/>
          <w:lang w:val="el-GR"/>
        </w:rPr>
        <w:t xml:space="preserve">. Παρόμοια εμπειρικά στοιχεία βρίσκονται στην </w:t>
      </w:r>
      <w:r w:rsidRPr="00D11C54">
        <w:rPr>
          <w:lang w:val="el-GR"/>
        </w:rPr>
        <w:t xml:space="preserve">έρευνα που διεξήχθη από τον </w:t>
      </w:r>
      <w:r>
        <w:t>Klassen</w:t>
      </w:r>
      <w:r w:rsidRPr="00D11C54">
        <w:rPr>
          <w:lang w:val="el-GR"/>
        </w:rPr>
        <w:t xml:space="preserve"> [</w:t>
      </w:r>
      <w:hyperlink w:anchor="_bookmark49" w:history="1">
        <w:r w:rsidRPr="00D11C54">
          <w:rPr>
            <w:color w:val="0774B7"/>
            <w:lang w:val="el-GR"/>
          </w:rPr>
          <w:t>48</w:t>
        </w:r>
      </w:hyperlink>
      <w:r w:rsidRPr="00D11C54">
        <w:rPr>
          <w:lang w:val="el-GR"/>
        </w:rPr>
        <w:t>–</w:t>
      </w:r>
      <w:hyperlink w:anchor="_bookmark50" w:history="1">
        <w:r w:rsidRPr="00D11C54">
          <w:rPr>
            <w:color w:val="0774B7"/>
            <w:lang w:val="el-GR"/>
          </w:rPr>
          <w:t>50</w:t>
        </w:r>
      </w:hyperlink>
      <w:r w:rsidRPr="00D11C54">
        <w:rPr>
          <w:lang w:val="el-GR"/>
        </w:rPr>
        <w:t xml:space="preserve">] που μελέτησε δύο διαφορετικούς τύπους αυτο-αποτελεσματικότητας (αυτο-αποτελεσματικότητα για αυτορυθμιζόμενη μάθηση και γενική αυτο-αποτελεσματικότητα) σε σχέση με τις πεποιθήσεις ορθογραφίας και αποτελεσματικότητας γραφής των εφήβων με και χωρίς μαθησιακή διαταραχή. Τα αποτελέσματα </w:t>
      </w:r>
      <w:r w:rsidRPr="00D11C54">
        <w:rPr>
          <w:w w:val="105"/>
          <w:lang w:val="el-GR"/>
        </w:rPr>
        <w:t xml:space="preserve">έδειξαν ότι οι πρώτοι υπερεκτίμησαν τις ορθογραφικές και γραπτές επιδόσεις τους, ενώ οι μαθητές χωρίς </w:t>
      </w:r>
      <w:r>
        <w:rPr>
          <w:w w:val="105"/>
        </w:rPr>
        <w:t>SLD</w:t>
      </w:r>
      <w:r w:rsidRPr="00D11C54">
        <w:rPr>
          <w:w w:val="105"/>
          <w:lang w:val="el-GR"/>
        </w:rPr>
        <w:t xml:space="preserve"> ήταν γενικά ακριβείς στις επιδόσεις τους. Ως εκ τούτου, οι έφηβοι με </w:t>
      </w:r>
      <w:r>
        <w:rPr>
          <w:w w:val="105"/>
        </w:rPr>
        <w:t>SLD</w:t>
      </w:r>
      <w:r w:rsidRPr="00D11C54">
        <w:rPr>
          <w:w w:val="105"/>
          <w:lang w:val="el-GR"/>
        </w:rPr>
        <w:t xml:space="preserve"> έχουν λιγότερη επίγνωση των προσωπικών ικανοτήτων για την αποτελεσματική εκτέλεση συγκεκριμένων ακαδημαϊκών καθηκόντων.</w:t>
      </w:r>
    </w:p>
    <w:p w14:paraId="29AE1E73" w14:textId="77777777" w:rsidR="00F5166D" w:rsidRPr="00D11C54" w:rsidRDefault="00623797">
      <w:pPr>
        <w:pStyle w:val="a3"/>
        <w:spacing w:before="4" w:line="256" w:lineRule="auto"/>
        <w:ind w:left="2721" w:right="129" w:firstLine="431"/>
        <w:jc w:val="both"/>
        <w:rPr>
          <w:lang w:val="el-GR"/>
        </w:rPr>
      </w:pPr>
      <w:r w:rsidRPr="00D11C54">
        <w:rPr>
          <w:w w:val="105"/>
          <w:lang w:val="el-GR"/>
        </w:rPr>
        <w:t xml:space="preserve">Περαιτέρω μελέτες επιβεβαιώνουν πώς τα υψηλά επίπεδα ακαδημαϊκής αυτο-αποτελεσματικότητας συνδέονται με χαμηλά επίπεδα άγχους, στρες και ασθένειας. συγκεκριμένα, οι </w:t>
      </w:r>
      <w:r>
        <w:rPr>
          <w:w w:val="105"/>
        </w:rPr>
        <w:t>Hen</w:t>
      </w:r>
      <w:r w:rsidRPr="00D11C54">
        <w:rPr>
          <w:w w:val="105"/>
          <w:lang w:val="el-GR"/>
        </w:rPr>
        <w:t xml:space="preserve"> και </w:t>
      </w:r>
      <w:r>
        <w:rPr>
          <w:w w:val="105"/>
        </w:rPr>
        <w:t>Goroshit</w:t>
      </w:r>
      <w:r w:rsidRPr="00D11C54">
        <w:rPr>
          <w:w w:val="105"/>
          <w:lang w:val="el-GR"/>
        </w:rPr>
        <w:t xml:space="preserve"> [</w:t>
      </w:r>
      <w:hyperlink w:anchor="_bookmark51" w:history="1">
        <w:r w:rsidRPr="00D11C54">
          <w:rPr>
            <w:color w:val="0774B7"/>
            <w:w w:val="105"/>
            <w:lang w:val="el-GR"/>
          </w:rPr>
          <w:t>51</w:t>
        </w:r>
      </w:hyperlink>
      <w:r w:rsidRPr="00D11C54">
        <w:rPr>
          <w:w w:val="105"/>
          <w:lang w:val="el-GR"/>
        </w:rPr>
        <w:t xml:space="preserve">] εξέτασαν, σε δείγμα 287 φοιτητών με και χωρίς </w:t>
      </w:r>
      <w:r>
        <w:rPr>
          <w:w w:val="105"/>
        </w:rPr>
        <w:t>SLD</w:t>
      </w:r>
      <w:r w:rsidRPr="00D11C54">
        <w:rPr>
          <w:w w:val="105"/>
          <w:lang w:val="el-GR"/>
        </w:rPr>
        <w:t xml:space="preserve">, τις διαφορές στις ακαδημαϊκές δυσκολίες και  τις </w:t>
      </w:r>
      <w:r w:rsidRPr="00D11C54">
        <w:rPr>
          <w:lang w:val="el-GR"/>
        </w:rPr>
        <w:t xml:space="preserve">δυσπροσαρμοστικές ακαδημαϊκές συμπεριφορές. Τα αποτελέσματα δείχνουν ότι οι έφηβοι με ΣΜΔ παρουσιάζουν </w:t>
      </w:r>
      <w:r w:rsidRPr="00D11C54">
        <w:rPr>
          <w:w w:val="105"/>
          <w:lang w:val="el-GR"/>
        </w:rPr>
        <w:t xml:space="preserve">υψηλά επίπεδα μαθησιακής αδυναμίας, συμπεριλαμβανομένης της μειωμένης επιμονής, των χαμηλότερων ακαδημαϊκών </w:t>
      </w:r>
      <w:r w:rsidRPr="00D11C54">
        <w:rPr>
          <w:lang w:val="el-GR"/>
        </w:rPr>
        <w:t xml:space="preserve">προσδοκιών και της αρνητικής επίδρασης. Τέτοια εμπειρικά στοιχεία επιβεβαιώνουν ότι η αυτο-αποτελεσματικότητα παίζει </w:t>
      </w:r>
      <w:r w:rsidRPr="00D11C54">
        <w:rPr>
          <w:w w:val="105"/>
          <w:lang w:val="el-GR"/>
        </w:rPr>
        <w:t>προστατευτικό ρόλο στην προσαρμογή των μαθητών στο σχολικό πλαίσιο, ειδικά παρουσία μιας συγκεκριμένης μαθησιακής διαταραχής.</w:t>
      </w:r>
    </w:p>
    <w:p w14:paraId="17D2FDB8" w14:textId="77777777" w:rsidR="00F5166D" w:rsidRPr="00D11C54" w:rsidRDefault="00623797">
      <w:pPr>
        <w:pStyle w:val="a3"/>
        <w:spacing w:before="1" w:line="256" w:lineRule="auto"/>
        <w:ind w:left="2719" w:right="104" w:firstLine="433"/>
        <w:jc w:val="both"/>
        <w:rPr>
          <w:lang w:val="el-GR"/>
        </w:rPr>
      </w:pPr>
      <w:r w:rsidRPr="00D11C54">
        <w:rPr>
          <w:w w:val="105"/>
          <w:lang w:val="el-GR"/>
        </w:rPr>
        <w:t xml:space="preserve">Για να ολοκληρώσουμε την ανασκόπηση των μελετών που ανέδειξαν κυρίως τον θετικό ρόλο της διαπροσωπικής προσαρμογής και της αυτοαποτελεσματικότητας στην ποιότητα ζωής των εφήβων με ΕΜΔ, δεν μπορούμε να παραβλέψουμε την έννοια της μεταγνώσης. Η μεταγνώση μελετήθηκε εκτενώς στη γνωστική ψυχολογία και ορίστηκε από τον </w:t>
      </w:r>
      <w:r>
        <w:rPr>
          <w:w w:val="105"/>
        </w:rPr>
        <w:t>Flavell</w:t>
      </w:r>
      <w:r w:rsidRPr="00D11C54">
        <w:rPr>
          <w:w w:val="105"/>
          <w:lang w:val="el-GR"/>
        </w:rPr>
        <w:t xml:space="preserve"> [</w:t>
      </w:r>
      <w:hyperlink w:anchor="_bookmark52" w:history="1">
        <w:r w:rsidRPr="00D11C54">
          <w:rPr>
            <w:color w:val="0774B7"/>
            <w:w w:val="105"/>
            <w:lang w:val="el-GR"/>
          </w:rPr>
          <w:t>52</w:t>
        </w:r>
      </w:hyperlink>
      <w:r w:rsidRPr="00D11C54">
        <w:rPr>
          <w:w w:val="105"/>
          <w:lang w:val="el-GR"/>
        </w:rPr>
        <w:t xml:space="preserve">] ως «γνώση και γνώση σχετικά με τα γνωστικά φαινόμενα και την παρακολούθηση της μνήμης, της κατανόησης και άλλων γνωστικών </w:t>
      </w:r>
      <w:r w:rsidRPr="00D11C54">
        <w:rPr>
          <w:w w:val="106"/>
          <w:lang w:val="el-GR"/>
        </w:rPr>
        <w:t xml:space="preserve"> </w:t>
      </w:r>
      <w:r w:rsidRPr="00D11C54">
        <w:rPr>
          <w:w w:val="104"/>
          <w:lang w:val="el-GR"/>
        </w:rPr>
        <w:t xml:space="preserve">διαδικασιών </w:t>
      </w:r>
      <w:r w:rsidRPr="00D11C54">
        <w:rPr>
          <w:w w:val="105"/>
          <w:lang w:val="el-GR"/>
        </w:rPr>
        <w:t xml:space="preserve"> του ατόμου».  </w:t>
      </w:r>
      <w:r w:rsidRPr="00D11C54">
        <w:rPr>
          <w:w w:val="94"/>
          <w:lang w:val="el-GR"/>
        </w:rPr>
        <w:t xml:space="preserve">906).  </w:t>
      </w:r>
      <w:r w:rsidRPr="00D11C54">
        <w:rPr>
          <w:w w:val="108"/>
          <w:lang w:val="el-GR"/>
        </w:rPr>
        <w:t xml:space="preserve">Σύμφωνα με </w:t>
      </w:r>
      <w:r w:rsidRPr="00D11C54">
        <w:rPr>
          <w:w w:val="101"/>
          <w:lang w:val="el-GR"/>
        </w:rPr>
        <w:t xml:space="preserve"> </w:t>
      </w:r>
      <w:r w:rsidRPr="00D11C54">
        <w:rPr>
          <w:w w:val="103"/>
          <w:lang w:val="el-GR"/>
        </w:rPr>
        <w:t xml:space="preserve">αυτή </w:t>
      </w:r>
      <w:r w:rsidRPr="00D11C54">
        <w:rPr>
          <w:w w:val="104"/>
          <w:lang w:val="el-GR"/>
        </w:rPr>
        <w:t xml:space="preserve">την προοπτική, ο </w:t>
      </w:r>
      <w:r>
        <w:rPr>
          <w:w w:val="104"/>
        </w:rPr>
        <w:t>Senemo</w:t>
      </w:r>
      <w:r>
        <w:rPr>
          <w:spacing w:val="-91"/>
          <w:w w:val="114"/>
        </w:rPr>
        <w:t>g</w:t>
      </w:r>
      <w:r w:rsidRPr="00D11C54">
        <w:rPr>
          <w:spacing w:val="-91"/>
          <w:w w:val="114"/>
          <w:lang w:val="el-GR"/>
        </w:rPr>
        <w:t xml:space="preserve"> ̆ </w:t>
      </w:r>
      <w:r>
        <w:rPr>
          <w:w w:val="110"/>
        </w:rPr>
        <w:t>lu</w:t>
      </w:r>
      <w:r w:rsidRPr="00D11C54">
        <w:rPr>
          <w:w w:val="110"/>
          <w:lang w:val="el-GR"/>
        </w:rPr>
        <w:t xml:space="preserve"> </w:t>
      </w:r>
      <w:r w:rsidRPr="00D11C54">
        <w:rPr>
          <w:spacing w:val="-1"/>
          <w:w w:val="96"/>
          <w:lang w:val="el-GR"/>
        </w:rPr>
        <w:t>[</w:t>
      </w:r>
      <w:hyperlink w:anchor="_bookmark53" w:history="1">
        <w:r w:rsidRPr="00D11C54">
          <w:rPr>
            <w:color w:val="0774B7"/>
            <w:w w:val="89"/>
            <w:lang w:val="el-GR"/>
          </w:rPr>
          <w:t>53</w:t>
        </w:r>
      </w:hyperlink>
      <w:r w:rsidRPr="00D11C54">
        <w:rPr>
          <w:w w:val="96"/>
          <w:lang w:val="el-GR"/>
        </w:rPr>
        <w:t xml:space="preserve">] </w:t>
      </w:r>
      <w:r w:rsidRPr="00D11C54">
        <w:rPr>
          <w:w w:val="103"/>
          <w:lang w:val="el-GR"/>
        </w:rPr>
        <w:t xml:space="preserve">θεωρούσε </w:t>
      </w:r>
      <w:r w:rsidRPr="00D11C54">
        <w:rPr>
          <w:w w:val="105"/>
          <w:lang w:val="el-GR"/>
        </w:rPr>
        <w:t xml:space="preserve">τη μεταγνώση ως «γνώση του γνωστικού συστήματος, της δομής και της λειτουργίας κάποιου. Με άλλα λόγια, η επίγνωση της γνωστικής δομής και των μαθησιακών χαρακτηριστικών του ατόμου και η ικανότητα παρακολούθησης και ρύθμισης των γνωστικών διαδικασιών του». (σ. 336). Ξεκινώντας από αυτούς τους ορισμούς, είναι δυνατόν να διακρίνουμε δύο πτυχές αυτής της ψυχολογικής κατασκευής: </w:t>
      </w:r>
      <w:r w:rsidRPr="00D11C54">
        <w:rPr>
          <w:lang w:val="el-GR"/>
        </w:rPr>
        <w:t xml:space="preserve">μεταγνωστική γνώση και μεταγνωστικές εμπειρίες. Η πρώτη είναι η γνώση σχετικά με </w:t>
      </w:r>
      <w:r w:rsidRPr="00D11C54">
        <w:rPr>
          <w:w w:val="105"/>
          <w:lang w:val="el-GR"/>
        </w:rPr>
        <w:t>τις γενικές στρατηγικές που μπορούν να χρησιμοποιηθούν για την ολοκλήρωση μιας συγκεκριμένης εργασίας, η συνειδητοποίηση της χρήσης τους σε ορισμένες καταστάσεις και η ικανότητα εντοπισμού εκείνων των μαθησιακών μονάδων όπου μια τέτοια στρατηγική μπορεί να είναι πιο αποτελεσματική. Η δεύτερη συνίσταται στην παρακολούθηση, τον έλεγχο και τη ρύθμιση της γνώσης. Αρκετές μελέτες έδειξαν ότι οι επαρκείς μεταγνωστικές δεξιότητες επηρεάζουν θετικά</w:t>
      </w:r>
    </w:p>
    <w:p w14:paraId="145C2A74" w14:textId="77777777" w:rsidR="00F5166D" w:rsidRPr="00D11C54" w:rsidRDefault="00F5166D">
      <w:pPr>
        <w:spacing w:line="256" w:lineRule="auto"/>
        <w:jc w:val="both"/>
        <w:rPr>
          <w:lang w:val="el-GR"/>
        </w:rPr>
        <w:sectPr w:rsidR="00F5166D" w:rsidRPr="00D11C54">
          <w:pgSz w:w="11910" w:h="16840"/>
          <w:pgMar w:top="1400" w:right="580" w:bottom="280" w:left="600" w:header="1109" w:footer="0" w:gutter="0"/>
          <w:cols w:space="720"/>
        </w:sectPr>
      </w:pPr>
    </w:p>
    <w:p w14:paraId="2ED556DE" w14:textId="77777777" w:rsidR="00F5166D" w:rsidRPr="00D11C54" w:rsidRDefault="00F5166D">
      <w:pPr>
        <w:pStyle w:val="a3"/>
        <w:rPr>
          <w:lang w:val="el-GR"/>
        </w:rPr>
      </w:pPr>
    </w:p>
    <w:p w14:paraId="49725B5D" w14:textId="77777777" w:rsidR="00F5166D" w:rsidRPr="00D11C54" w:rsidRDefault="00F5166D">
      <w:pPr>
        <w:pStyle w:val="a3"/>
        <w:spacing w:before="6"/>
        <w:rPr>
          <w:sz w:val="21"/>
          <w:lang w:val="el-GR"/>
        </w:rPr>
      </w:pPr>
    </w:p>
    <w:p w14:paraId="4327DB06" w14:textId="77777777" w:rsidR="00F5166D" w:rsidRPr="00D11C54" w:rsidRDefault="00623797">
      <w:pPr>
        <w:pStyle w:val="a3"/>
        <w:spacing w:line="256" w:lineRule="auto"/>
        <w:ind w:left="2721" w:right="113" w:firstLine="5"/>
        <w:jc w:val="both"/>
        <w:rPr>
          <w:lang w:val="el-GR"/>
        </w:rPr>
      </w:pPr>
      <w:r w:rsidRPr="00D11C54">
        <w:rPr>
          <w:lang w:val="el-GR"/>
        </w:rPr>
        <w:t>τις μαθησιακές ικανότητες των μαθητών [</w:t>
      </w:r>
      <w:hyperlink w:anchor="_bookmark54" w:history="1">
        <w:r w:rsidRPr="00D11C54">
          <w:rPr>
            <w:color w:val="0774B7"/>
            <w:lang w:val="el-GR"/>
          </w:rPr>
          <w:t>54</w:t>
        </w:r>
      </w:hyperlink>
      <w:r w:rsidRPr="00D11C54">
        <w:rPr>
          <w:lang w:val="el-GR"/>
        </w:rPr>
        <w:t>–</w:t>
      </w:r>
      <w:hyperlink w:anchor="_bookmark55" w:history="1">
        <w:r w:rsidRPr="00D11C54">
          <w:rPr>
            <w:color w:val="0774B7"/>
            <w:lang w:val="el-GR"/>
          </w:rPr>
          <w:t>59</w:t>
        </w:r>
      </w:hyperlink>
      <w:r w:rsidRPr="00D11C54">
        <w:rPr>
          <w:lang w:val="el-GR"/>
        </w:rPr>
        <w:t>]. Αυτό είναι ακόμη πιο εμφανές στην περίπτωση των μαθητών με κακή ακαδημαϊκή απόδοση λόγω μαθησιακής διαταραχής, ειδικά στα μαθηματικά, την ανάγνωση και την κατανόηση [</w:t>
      </w:r>
      <w:hyperlink w:anchor="_bookmark54" w:history="1">
        <w:r w:rsidRPr="00D11C54">
          <w:rPr>
            <w:color w:val="0774B7"/>
            <w:lang w:val="el-GR"/>
          </w:rPr>
          <w:t>54,60</w:t>
        </w:r>
      </w:hyperlink>
      <w:hyperlink w:anchor="_bookmark56" w:history="1">
        <w:r w:rsidRPr="00D11C54">
          <w:rPr>
            <w:color w:val="0774B7"/>
            <w:lang w:val="el-GR"/>
          </w:rPr>
          <w:t>–</w:t>
        </w:r>
      </w:hyperlink>
      <w:r w:rsidRPr="00D11C54">
        <w:rPr>
          <w:lang w:val="el-GR"/>
        </w:rPr>
        <w:t>62</w:t>
      </w:r>
      <w:hyperlink w:anchor="_bookmark57" w:history="1"/>
      <w:r w:rsidRPr="00D11C54">
        <w:rPr>
          <w:lang w:val="el-GR"/>
        </w:rPr>
        <w:t>]. Πιο συγκεκριμένα, έχει αποδειχθεί ότι οι μαθητές με μαθησιακή διαταραχή δεν μπορούν αυθόρμητα να μεταφέρουν τις στρατηγικές που έμαθαν από προηγούμενα πλαίσια σε νέα πλαίσια [</w:t>
      </w:r>
      <w:hyperlink w:anchor="_bookmark23" w:history="1">
        <w:r w:rsidRPr="00D11C54">
          <w:rPr>
            <w:color w:val="0774B7"/>
            <w:lang w:val="el-GR"/>
          </w:rPr>
          <w:t>17</w:t>
        </w:r>
      </w:hyperlink>
      <w:r w:rsidRPr="00D11C54">
        <w:rPr>
          <w:lang w:val="el-GR"/>
        </w:rPr>
        <w:t>].</w:t>
      </w:r>
    </w:p>
    <w:p w14:paraId="6B0A3FA8" w14:textId="77777777" w:rsidR="00F5166D" w:rsidRPr="00D11C54" w:rsidRDefault="00623797">
      <w:pPr>
        <w:pStyle w:val="a3"/>
        <w:spacing w:before="1" w:line="256" w:lineRule="auto"/>
        <w:ind w:left="2719" w:right="113" w:firstLine="433"/>
        <w:jc w:val="both"/>
        <w:rPr>
          <w:lang w:val="el-GR"/>
        </w:rPr>
      </w:pPr>
      <w:r w:rsidRPr="00D11C54">
        <w:rPr>
          <w:lang w:val="el-GR"/>
        </w:rPr>
        <w:t xml:space="preserve">Για το λόγο αυτό, αυτοί οι μαθητές πρέπει να αναπτύξουν την ικανότητα να κατανοούν γιατί και πότε </w:t>
      </w:r>
      <w:r w:rsidRPr="00D11C54">
        <w:rPr>
          <w:w w:val="105"/>
          <w:lang w:val="el-GR"/>
        </w:rPr>
        <w:t xml:space="preserve">να εφαρμόζουν αυτές τις δεξιότητες και να παρακολουθούν την εφαρμογή τους. Επιπλέον, αρκετές μελέτες υπογράμμισαν τη σημασία της διδασκαλίας μεταγνωστικών στρατηγικών για να κάνουν τους μαθητές με </w:t>
      </w:r>
      <w:r>
        <w:rPr>
          <w:w w:val="105"/>
        </w:rPr>
        <w:t>SLD</w:t>
      </w:r>
      <w:r w:rsidRPr="00D11C54">
        <w:rPr>
          <w:w w:val="105"/>
          <w:lang w:val="el-GR"/>
        </w:rPr>
        <w:t xml:space="preserve"> να φτάσουν στην ακαδημαϊκή επιτυχία και να αυξήσουν τα κίνητρα και την αυτο-αποτελεσματικότητά τους [</w:t>
      </w:r>
      <w:hyperlink w:anchor="_bookmark23" w:history="1">
        <w:r w:rsidRPr="00D11C54">
          <w:rPr>
            <w:color w:val="0774B7"/>
            <w:w w:val="105"/>
            <w:lang w:val="el-GR"/>
          </w:rPr>
          <w:t>17</w:t>
        </w:r>
      </w:hyperlink>
      <w:r w:rsidRPr="00D11C54">
        <w:rPr>
          <w:w w:val="105"/>
          <w:lang w:val="el-GR"/>
        </w:rPr>
        <w:t xml:space="preserve">]. Για </w:t>
      </w:r>
      <w:r w:rsidRPr="00D11C54">
        <w:rPr>
          <w:lang w:val="el-GR"/>
        </w:rPr>
        <w:t xml:space="preserve"> παράδειγμα, σε μια πρόσφατη μελέτη, οι </w:t>
      </w:r>
      <w:r>
        <w:t>Wang</w:t>
      </w:r>
      <w:r w:rsidRPr="00D11C54">
        <w:rPr>
          <w:lang w:val="el-GR"/>
        </w:rPr>
        <w:t xml:space="preserve"> </w:t>
      </w:r>
      <w:r>
        <w:t>et</w:t>
      </w:r>
      <w:r w:rsidRPr="00D11C54">
        <w:rPr>
          <w:lang w:val="el-GR"/>
        </w:rPr>
        <w:t xml:space="preserve"> </w:t>
      </w:r>
      <w:r>
        <w:t>al</w:t>
      </w:r>
      <w:r w:rsidRPr="00D11C54">
        <w:rPr>
          <w:lang w:val="el-GR"/>
        </w:rPr>
        <w:t>. [</w:t>
      </w:r>
      <w:hyperlink w:anchor="_bookmark58" w:history="1">
        <w:r w:rsidRPr="00D11C54">
          <w:rPr>
            <w:color w:val="0774B7"/>
            <w:lang w:val="el-GR"/>
          </w:rPr>
          <w:t>63</w:t>
        </w:r>
      </w:hyperlink>
      <w:r w:rsidRPr="00D11C54">
        <w:rPr>
          <w:lang w:val="el-GR"/>
        </w:rPr>
        <w:t xml:space="preserve">] έδειξαν ότι, σε ένα δείγμα μαθητών με </w:t>
      </w:r>
      <w:r>
        <w:t>LD</w:t>
      </w:r>
      <w:r w:rsidRPr="00D11C54">
        <w:rPr>
          <w:lang w:val="el-GR"/>
        </w:rPr>
        <w:t xml:space="preserve">, τα υψηλά επίπεδα μεταγνώσης και η σωστή χρήση μεταγνωστικών στρατηγικών συσχετίστηκαν αρνητικά με ακαδημαϊκές αποτυχίες και θετικά με την αυτο-αποτελεσματικότητα. Επιπλέον, η πρόσφατη βιβλιογραφία </w:t>
      </w:r>
      <w:r w:rsidRPr="00D11C54">
        <w:rPr>
          <w:w w:val="105"/>
          <w:lang w:val="el-GR"/>
        </w:rPr>
        <w:t>αναφέρει αρκετές μελέτες, που αποδεικνύουν την αποτελεσματικότητα των παρεμβάσεων, προωθώντας μεταγνωστικές στρατηγικές για τη βελτίωση των ακαδημαϊκών επιδόσεων των μαθητών της ΠΝ [</w:t>
      </w:r>
      <w:hyperlink w:anchor="_bookmark27" w:history="1">
        <w:r w:rsidRPr="00D11C54">
          <w:rPr>
            <w:color w:val="0774B7"/>
            <w:w w:val="105"/>
            <w:lang w:val="el-GR"/>
          </w:rPr>
          <w:t>22,64,65</w:t>
        </w:r>
      </w:hyperlink>
      <w:hyperlink w:anchor="_bookmark59" w:history="1"/>
      <w:hyperlink w:anchor="_bookmark60" w:history="1"/>
      <w:r w:rsidRPr="00D11C54">
        <w:rPr>
          <w:w w:val="105"/>
          <w:lang w:val="el-GR"/>
        </w:rPr>
        <w:t>].</w:t>
      </w:r>
    </w:p>
    <w:p w14:paraId="0338FF01" w14:textId="77777777" w:rsidR="00F5166D" w:rsidRDefault="00623797">
      <w:pPr>
        <w:pStyle w:val="a5"/>
        <w:numPr>
          <w:ilvl w:val="1"/>
          <w:numId w:val="3"/>
        </w:numPr>
        <w:tabs>
          <w:tab w:val="left" w:pos="3089"/>
        </w:tabs>
        <w:spacing w:before="179"/>
        <w:ind w:hanging="362"/>
        <w:rPr>
          <w:rFonts w:ascii="Palatino Linotype"/>
          <w:i/>
          <w:sz w:val="20"/>
        </w:rPr>
      </w:pPr>
      <w:bookmarkStart w:id="2" w:name="Purpose_of_Study_and_Hypotheses_"/>
      <w:bookmarkEnd w:id="2"/>
      <w:r>
        <w:rPr>
          <w:rFonts w:ascii="Palatino Linotype"/>
          <w:i/>
          <w:sz w:val="20"/>
        </w:rPr>
        <w:t>Σκοπός</w:t>
      </w:r>
      <w:r>
        <w:rPr>
          <w:rFonts w:ascii="Palatino Linotype"/>
          <w:i/>
          <w:sz w:val="20"/>
        </w:rPr>
        <w:t xml:space="preserve"> </w:t>
      </w:r>
      <w:r>
        <w:rPr>
          <w:rFonts w:ascii="Palatino Linotype"/>
          <w:i/>
          <w:sz w:val="20"/>
        </w:rPr>
        <w:t>Μελέτης</w:t>
      </w:r>
      <w:r>
        <w:rPr>
          <w:rFonts w:ascii="Palatino Linotype"/>
          <w:i/>
          <w:sz w:val="20"/>
        </w:rPr>
        <w:t xml:space="preserve"> </w:t>
      </w:r>
      <w:r>
        <w:rPr>
          <w:rFonts w:ascii="Palatino Linotype"/>
          <w:i/>
          <w:sz w:val="20"/>
        </w:rPr>
        <w:t>και</w:t>
      </w:r>
      <w:r>
        <w:rPr>
          <w:rFonts w:ascii="Palatino Linotype"/>
          <w:i/>
          <w:sz w:val="20"/>
        </w:rPr>
        <w:t xml:space="preserve"> </w:t>
      </w:r>
      <w:r>
        <w:rPr>
          <w:rFonts w:ascii="Palatino Linotype"/>
          <w:i/>
          <w:sz w:val="20"/>
        </w:rPr>
        <w:t>Υποθέσεις</w:t>
      </w:r>
    </w:p>
    <w:p w14:paraId="3C9B7D4A" w14:textId="77777777" w:rsidR="00F5166D" w:rsidRPr="00D11C54" w:rsidRDefault="00623797">
      <w:pPr>
        <w:pStyle w:val="a3"/>
        <w:spacing w:before="61" w:line="256" w:lineRule="auto"/>
        <w:ind w:left="2727" w:right="105" w:firstLine="425"/>
        <w:jc w:val="both"/>
        <w:rPr>
          <w:lang w:val="el-GR"/>
        </w:rPr>
      </w:pPr>
      <w:r w:rsidRPr="00D11C54">
        <w:rPr>
          <w:lang w:val="el-GR"/>
        </w:rPr>
        <w:t xml:space="preserve">Αυτή η μελέτη είχε ως στόχο να διερευνήσει τη σχέση της διαπροσωπικής προσαρμογής  με </w:t>
      </w:r>
      <w:r w:rsidRPr="00D11C54">
        <w:rPr>
          <w:w w:val="105"/>
          <w:lang w:val="el-GR"/>
        </w:rPr>
        <w:t xml:space="preserve">γενικευμένη αυτο-αποτελεσματικότητα και μεταγνωστικές δεξιότητες που εκφράζονται από μαθητές δευτεροβάθμιας εκπαίδευσης και γυμνασίου </w:t>
      </w:r>
      <w:r w:rsidRPr="00D11C54">
        <w:rPr>
          <w:lang w:val="el-GR"/>
        </w:rPr>
        <w:t xml:space="preserve"> με και χωρίς </w:t>
      </w:r>
      <w:r>
        <w:t>SLD</w:t>
      </w:r>
      <w:r w:rsidRPr="00D11C54">
        <w:rPr>
          <w:lang w:val="el-GR"/>
        </w:rPr>
        <w:t xml:space="preserve">. Λαμβάνοντας υπόψη την προηγούμενη βιβλιογραφία σχετικά με τις σχέσεις </w:t>
      </w:r>
      <w:r w:rsidRPr="00D11C54">
        <w:rPr>
          <w:w w:val="105"/>
          <w:lang w:val="el-GR"/>
        </w:rPr>
        <w:t xml:space="preserve">μεταξύ της </w:t>
      </w:r>
      <w:r>
        <w:rPr>
          <w:w w:val="105"/>
        </w:rPr>
        <w:t>SLD</w:t>
      </w:r>
      <w:r w:rsidRPr="00D11C54">
        <w:rPr>
          <w:w w:val="105"/>
          <w:lang w:val="el-GR"/>
        </w:rPr>
        <w:t xml:space="preserve"> και των ψυχολογικών μεταβλητών που αναλύθηκαν, διατυπώσαμε τις ακόλουθες υποθέσεις μελέτης:</w:t>
      </w:r>
    </w:p>
    <w:p w14:paraId="34225501" w14:textId="77777777" w:rsidR="00F5166D" w:rsidRPr="00D11C54" w:rsidRDefault="00623797">
      <w:pPr>
        <w:pStyle w:val="a5"/>
        <w:numPr>
          <w:ilvl w:val="1"/>
          <w:numId w:val="2"/>
        </w:numPr>
        <w:tabs>
          <w:tab w:val="left" w:pos="3190"/>
        </w:tabs>
        <w:spacing w:before="61" w:line="256" w:lineRule="auto"/>
        <w:ind w:right="137" w:hanging="453"/>
        <w:jc w:val="both"/>
        <w:rPr>
          <w:sz w:val="20"/>
          <w:lang w:val="el-GR"/>
        </w:rPr>
      </w:pPr>
      <w:r>
        <w:rPr>
          <w:sz w:val="20"/>
        </w:rPr>
        <w:t>H</w:t>
      </w:r>
      <w:r w:rsidRPr="00D11C54">
        <w:rPr>
          <w:sz w:val="20"/>
          <w:lang w:val="el-GR"/>
        </w:rPr>
        <w:t xml:space="preserve">1: οι έφηβοι με </w:t>
      </w:r>
      <w:r>
        <w:rPr>
          <w:sz w:val="20"/>
        </w:rPr>
        <w:t>SLD</w:t>
      </w:r>
      <w:r w:rsidRPr="00D11C54">
        <w:rPr>
          <w:sz w:val="20"/>
          <w:lang w:val="el-GR"/>
        </w:rPr>
        <w:t xml:space="preserve"> αναφέρουν χαμηλότερη διαπροσωπική προσαρμογή από τους εφήβους χωρίς </w:t>
      </w:r>
      <w:r>
        <w:rPr>
          <w:sz w:val="20"/>
        </w:rPr>
        <w:t>SLD</w:t>
      </w:r>
      <w:r w:rsidRPr="00D11C54">
        <w:rPr>
          <w:sz w:val="20"/>
          <w:lang w:val="el-GR"/>
        </w:rPr>
        <w:t>.</w:t>
      </w:r>
    </w:p>
    <w:p w14:paraId="2423DF08" w14:textId="77777777" w:rsidR="00F5166D" w:rsidRPr="00D11C54" w:rsidRDefault="00623797">
      <w:pPr>
        <w:pStyle w:val="a5"/>
        <w:numPr>
          <w:ilvl w:val="1"/>
          <w:numId w:val="2"/>
        </w:numPr>
        <w:tabs>
          <w:tab w:val="left" w:pos="3190"/>
        </w:tabs>
        <w:spacing w:line="256" w:lineRule="auto"/>
        <w:ind w:left="3189" w:right="104"/>
        <w:jc w:val="both"/>
        <w:rPr>
          <w:sz w:val="20"/>
          <w:lang w:val="el-GR"/>
        </w:rPr>
      </w:pPr>
      <w:r>
        <w:rPr>
          <w:w w:val="105"/>
          <w:sz w:val="20"/>
        </w:rPr>
        <w:t>H</w:t>
      </w:r>
      <w:r w:rsidRPr="00D11C54">
        <w:rPr>
          <w:w w:val="105"/>
          <w:sz w:val="20"/>
          <w:lang w:val="el-GR"/>
        </w:rPr>
        <w:t xml:space="preserve">2: οι έφηβοι με </w:t>
      </w:r>
      <w:r>
        <w:rPr>
          <w:w w:val="105"/>
          <w:sz w:val="20"/>
        </w:rPr>
        <w:t>SLD</w:t>
      </w:r>
      <w:r w:rsidRPr="00D11C54">
        <w:rPr>
          <w:w w:val="105"/>
          <w:sz w:val="20"/>
          <w:lang w:val="el-GR"/>
        </w:rPr>
        <w:t xml:space="preserve"> παρουσιάζουν χαμηλότερη γενική αυτο-αποτελεσματικότητα από τους εφήβους χωρίς </w:t>
      </w:r>
      <w:r>
        <w:rPr>
          <w:w w:val="105"/>
          <w:sz w:val="20"/>
        </w:rPr>
        <w:t>SLD</w:t>
      </w:r>
      <w:r w:rsidRPr="00D11C54">
        <w:rPr>
          <w:w w:val="105"/>
          <w:sz w:val="20"/>
          <w:lang w:val="el-GR"/>
        </w:rPr>
        <w:t>.</w:t>
      </w:r>
    </w:p>
    <w:p w14:paraId="0F2FFD51" w14:textId="77777777" w:rsidR="00F5166D" w:rsidRPr="00D11C54" w:rsidRDefault="00623797">
      <w:pPr>
        <w:pStyle w:val="a5"/>
        <w:numPr>
          <w:ilvl w:val="1"/>
          <w:numId w:val="2"/>
        </w:numPr>
        <w:tabs>
          <w:tab w:val="left" w:pos="3190"/>
        </w:tabs>
        <w:spacing w:line="256" w:lineRule="auto"/>
        <w:ind w:right="139" w:hanging="453"/>
        <w:jc w:val="both"/>
        <w:rPr>
          <w:sz w:val="20"/>
          <w:lang w:val="el-GR"/>
        </w:rPr>
      </w:pPr>
      <w:r>
        <w:rPr>
          <w:w w:val="105"/>
          <w:sz w:val="20"/>
        </w:rPr>
        <w:t>H</w:t>
      </w:r>
      <w:r w:rsidRPr="00D11C54">
        <w:rPr>
          <w:w w:val="105"/>
          <w:sz w:val="20"/>
          <w:lang w:val="el-GR"/>
        </w:rPr>
        <w:t xml:space="preserve">3: οι έφηβοι με </w:t>
      </w:r>
      <w:r>
        <w:rPr>
          <w:w w:val="105"/>
          <w:sz w:val="20"/>
        </w:rPr>
        <w:t>SLD</w:t>
      </w:r>
      <w:r w:rsidRPr="00D11C54">
        <w:rPr>
          <w:w w:val="105"/>
          <w:sz w:val="20"/>
          <w:lang w:val="el-GR"/>
        </w:rPr>
        <w:t xml:space="preserve"> αναφέρουν χαμηλότερες μεταγνωστικές δεξιότητες από τους εφήβους χωρίς </w:t>
      </w:r>
      <w:r>
        <w:rPr>
          <w:w w:val="105"/>
          <w:sz w:val="20"/>
        </w:rPr>
        <w:t>SLD</w:t>
      </w:r>
      <w:r w:rsidRPr="00D11C54">
        <w:rPr>
          <w:w w:val="105"/>
          <w:sz w:val="20"/>
          <w:lang w:val="el-GR"/>
        </w:rPr>
        <w:t>.</w:t>
      </w:r>
    </w:p>
    <w:p w14:paraId="3F15C3E0" w14:textId="77777777" w:rsidR="00F5166D" w:rsidRPr="00D11C54" w:rsidRDefault="00623797">
      <w:pPr>
        <w:pStyle w:val="a5"/>
        <w:numPr>
          <w:ilvl w:val="1"/>
          <w:numId w:val="2"/>
        </w:numPr>
        <w:tabs>
          <w:tab w:val="left" w:pos="3190"/>
        </w:tabs>
        <w:spacing w:before="1" w:line="256" w:lineRule="auto"/>
        <w:ind w:left="3189" w:right="137"/>
        <w:jc w:val="both"/>
        <w:rPr>
          <w:sz w:val="20"/>
          <w:lang w:val="el-GR"/>
        </w:rPr>
      </w:pPr>
      <w:r>
        <w:rPr>
          <w:w w:val="105"/>
          <w:sz w:val="20"/>
        </w:rPr>
        <w:t>H</w:t>
      </w:r>
      <w:r w:rsidRPr="00D11C54">
        <w:rPr>
          <w:w w:val="105"/>
          <w:sz w:val="20"/>
          <w:lang w:val="el-GR"/>
        </w:rPr>
        <w:t xml:space="preserve">4: οι έφηβοι με </w:t>
      </w:r>
      <w:r>
        <w:rPr>
          <w:w w:val="105"/>
          <w:sz w:val="20"/>
        </w:rPr>
        <w:t>SLD</w:t>
      </w:r>
      <w:r w:rsidRPr="00D11C54">
        <w:rPr>
          <w:w w:val="105"/>
          <w:sz w:val="20"/>
          <w:lang w:val="el-GR"/>
        </w:rPr>
        <w:t xml:space="preserve"> που χρησιμοποιούν αντισταθμιστικά εργαλεία εκφράζουν υψηλές διαπροσωπικές δεξιότητες, αυτο-αποτελεσματικότητα και μεταγνωστικές δεξιότητες από τους εφήβους με </w:t>
      </w:r>
      <w:r>
        <w:rPr>
          <w:w w:val="105"/>
          <w:sz w:val="20"/>
        </w:rPr>
        <w:t>SLD</w:t>
      </w:r>
      <w:r w:rsidRPr="00D11C54">
        <w:rPr>
          <w:w w:val="105"/>
          <w:sz w:val="20"/>
          <w:lang w:val="el-GR"/>
        </w:rPr>
        <w:t xml:space="preserve"> που δεν χρησιμοποιούν αντισταθμιστικά εργαλεία.</w:t>
      </w:r>
    </w:p>
    <w:p w14:paraId="41082BBC" w14:textId="77777777" w:rsidR="00F5166D" w:rsidRPr="00D11C54" w:rsidRDefault="00623797">
      <w:pPr>
        <w:pStyle w:val="a5"/>
        <w:numPr>
          <w:ilvl w:val="1"/>
          <w:numId w:val="2"/>
        </w:numPr>
        <w:tabs>
          <w:tab w:val="left" w:pos="3190"/>
        </w:tabs>
        <w:spacing w:line="256" w:lineRule="auto"/>
        <w:ind w:left="3189" w:right="137"/>
        <w:jc w:val="both"/>
        <w:rPr>
          <w:sz w:val="20"/>
          <w:lang w:val="el-GR"/>
        </w:rPr>
      </w:pPr>
      <w:r>
        <w:rPr>
          <w:w w:val="105"/>
          <w:sz w:val="20"/>
        </w:rPr>
        <w:t>H</w:t>
      </w:r>
      <w:r w:rsidRPr="00D11C54">
        <w:rPr>
          <w:w w:val="105"/>
          <w:sz w:val="20"/>
          <w:lang w:val="el-GR"/>
        </w:rPr>
        <w:t xml:space="preserve">5 ΚΥΡΙΟΣ ΣΤΟΧΟΣ: η χρήση αντισταθμιστικών εργαλείων είναι η πρόβλεψη υψηλών επιπέδων μεταγνωστικών δεξιοτήτων σε εφήβους με </w:t>
      </w:r>
      <w:r>
        <w:rPr>
          <w:w w:val="105"/>
          <w:sz w:val="20"/>
        </w:rPr>
        <w:t>SLD</w:t>
      </w:r>
      <w:r w:rsidRPr="00D11C54">
        <w:rPr>
          <w:w w:val="105"/>
          <w:sz w:val="20"/>
          <w:lang w:val="el-GR"/>
        </w:rPr>
        <w:t xml:space="preserve"> (</w:t>
      </w:r>
      <w:r>
        <w:rPr>
          <w:w w:val="105"/>
          <w:sz w:val="20"/>
        </w:rPr>
        <w:t>H</w:t>
      </w:r>
      <w:r w:rsidRPr="00D11C54">
        <w:rPr>
          <w:w w:val="105"/>
          <w:sz w:val="20"/>
          <w:lang w:val="el-GR"/>
        </w:rPr>
        <w:t>5).</w:t>
      </w:r>
    </w:p>
    <w:p w14:paraId="7182B073" w14:textId="30ADA79A" w:rsidR="00F5166D" w:rsidRPr="00D11C54" w:rsidRDefault="00D11C54">
      <w:pPr>
        <w:pStyle w:val="a3"/>
        <w:spacing w:before="60" w:line="256" w:lineRule="auto"/>
        <w:ind w:left="2727" w:right="138" w:firstLine="425"/>
        <w:jc w:val="both"/>
        <w:rPr>
          <w:lang w:val="el-GR"/>
        </w:rPr>
      </w:pPr>
      <w:r>
        <w:rPr>
          <w:noProof/>
        </w:rPr>
        <mc:AlternateContent>
          <mc:Choice Requires="wps">
            <w:drawing>
              <wp:anchor distT="0" distB="0" distL="114300" distR="114300" simplePos="0" relativeHeight="486773760" behindDoc="1" locked="0" layoutInCell="1" allowOverlap="1" wp14:anchorId="246DAE02" wp14:editId="74A67399">
                <wp:simplePos x="0" y="0"/>
                <wp:positionH relativeFrom="page">
                  <wp:posOffset>4583430</wp:posOffset>
                </wp:positionH>
                <wp:positionV relativeFrom="paragraph">
                  <wp:posOffset>215900</wp:posOffset>
                </wp:positionV>
                <wp:extent cx="102870" cy="229235"/>
                <wp:effectExtent l="0" t="0" r="0" b="0"/>
                <wp:wrapNone/>
                <wp:docPr id="1955625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2D47D" w14:textId="77777777" w:rsidR="00F5166D" w:rsidRDefault="00623797">
                            <w:pPr>
                              <w:spacing w:line="203" w:lineRule="exact"/>
                              <w:rPr>
                                <w:rFonts w:ascii="Arial" w:hAnsi="Arial"/>
                                <w:i/>
                                <w:sz w:val="20"/>
                              </w:rPr>
                            </w:pPr>
                            <w:r>
                              <w:rPr>
                                <w:rFonts w:ascii="Arial" w:hAnsi="Arial"/>
                                <w:i/>
                                <w:w w:val="138"/>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DAE02" id="_x0000_t202" coordsize="21600,21600" o:spt="202" path="m,l,21600r21600,l21600,xe">
                <v:stroke joinstyle="miter"/>
                <v:path gradientshapeok="t" o:connecttype="rect"/>
              </v:shapetype>
              <v:shape id="Text Box 7" o:spid="_x0000_s1026" type="#_x0000_t202" style="position:absolute;left:0;text-align:left;margin-left:360.9pt;margin-top:17pt;width:8.1pt;height:18.05pt;z-index:-1654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" filled="f" stroked="f">
                <v:textbox inset="0,0,0,0">
                  <w:txbxContent>
                    <w:p w14:paraId="0FA2D47D" w14:textId="77777777" w:rsidR="00F5166D" w:rsidRDefault="00623797">
                      <w:pPr>
                        <w:spacing w:line="203" w:lineRule="exact"/>
                        <w:rPr>
                          <w:rFonts w:ascii="Arial" w:hAnsi="Arial"/>
                          <w:i/>
                          <w:sz w:val="20"/>
                        </w:rPr>
                      </w:pPr>
                      <w:r>
                        <w:rPr>
                          <w:rFonts w:ascii="Arial" w:hAnsi="Arial"/>
                          <w:i/>
                          <w:w w:val="138"/>
                          <w:sz w:val="20"/>
                        </w:rPr>
                        <w:t>−</w:t>
                      </w:r>
                    </w:p>
                  </w:txbxContent>
                </v:textbox>
                <w10:wrap anchorx="page"/>
              </v:shape>
            </w:pict>
          </mc:Fallback>
        </mc:AlternateContent>
      </w:r>
      <w:r w:rsidR="00623797" w:rsidRPr="00D11C54">
        <w:rPr>
          <w:lang w:val="el-GR"/>
        </w:rPr>
        <w:t xml:space="preserve">Το σχήμα </w:t>
      </w:r>
      <w:hyperlink w:anchor="_bookmark0" w:history="1">
        <w:r w:rsidR="00623797" w:rsidRPr="00D11C54">
          <w:rPr>
            <w:color w:val="0774B7"/>
            <w:lang w:val="el-GR"/>
          </w:rPr>
          <w:t xml:space="preserve">1 </w:t>
        </w:r>
      </w:hyperlink>
      <w:r w:rsidR="00623797" w:rsidRPr="00D11C54">
        <w:rPr>
          <w:lang w:val="el-GR"/>
        </w:rPr>
        <w:t>συνοψίζει το εννοιολογικό πλαίσιο αυτής της μελέτης. Ένα σύμβολο συν (+</w:t>
      </w:r>
      <w:r w:rsidR="00623797" w:rsidRPr="00D11C54">
        <w:rPr>
          <w:w w:val="105"/>
          <w:lang w:val="el-GR"/>
        </w:rPr>
        <w:t>) υποδεικνύει μια θετική σχέση, ενώ ένα σύμβολο μείον ( ) υποδεικνύει μια αρνητική σχέση μεταξύ των μεταβλητών.</w:t>
      </w:r>
    </w:p>
    <w:p w14:paraId="3DB80DDC" w14:textId="77777777" w:rsidR="00F5166D" w:rsidRPr="00D11C54" w:rsidRDefault="00F5166D">
      <w:pPr>
        <w:spacing w:line="256" w:lineRule="auto"/>
        <w:jc w:val="both"/>
        <w:rPr>
          <w:lang w:val="el-GR"/>
        </w:rPr>
        <w:sectPr w:rsidR="00F5166D" w:rsidRPr="00D11C54">
          <w:pgSz w:w="11910" w:h="16840"/>
          <w:pgMar w:top="1400" w:right="580" w:bottom="280" w:left="600" w:header="1109" w:footer="0" w:gutter="0"/>
          <w:cols w:space="720"/>
        </w:sectPr>
      </w:pPr>
    </w:p>
    <w:p w14:paraId="58F881EB" w14:textId="77777777" w:rsidR="00F5166D" w:rsidRPr="00D11C54" w:rsidRDefault="00F5166D">
      <w:pPr>
        <w:pStyle w:val="a3"/>
        <w:rPr>
          <w:lang w:val="el-GR"/>
        </w:rPr>
      </w:pPr>
    </w:p>
    <w:p w14:paraId="509CFBC5" w14:textId="77777777" w:rsidR="00F5166D" w:rsidRPr="00D11C54" w:rsidRDefault="00F5166D">
      <w:pPr>
        <w:pStyle w:val="a3"/>
        <w:spacing w:before="11"/>
        <w:rPr>
          <w:sz w:val="24"/>
          <w:lang w:val="el-GR"/>
        </w:rPr>
      </w:pPr>
    </w:p>
    <w:p w14:paraId="3173A7E2" w14:textId="77777777" w:rsidR="00F5166D" w:rsidRDefault="00623797">
      <w:pPr>
        <w:pStyle w:val="a3"/>
        <w:ind w:left="2793"/>
      </w:pPr>
      <w:r>
        <w:rPr>
          <w:noProof/>
        </w:rPr>
        <w:drawing>
          <wp:inline distT="0" distB="0" distL="0" distR="0" wp14:anchorId="1EB9474A" wp14:editId="44F09D14">
            <wp:extent cx="4795516" cy="3324891"/>
            <wp:effectExtent l="0" t="0" r="0" b="0"/>
            <wp:docPr id="1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jpeg"/>
                    <pic:cNvPicPr/>
                  </pic:nvPicPr>
                  <pic:blipFill>
                    <a:blip r:embed="rId33" cstate="print"/>
                    <a:stretch>
                      <a:fillRect/>
                    </a:stretch>
                  </pic:blipFill>
                  <pic:spPr>
                    <a:xfrm>
                      <a:off x="0" y="0"/>
                      <a:ext cx="4795516" cy="3324891"/>
                    </a:xfrm>
                    <a:prstGeom prst="rect">
                      <a:avLst/>
                    </a:prstGeom>
                  </pic:spPr>
                </pic:pic>
              </a:graphicData>
            </a:graphic>
          </wp:inline>
        </w:drawing>
      </w:r>
    </w:p>
    <w:p w14:paraId="3CFC517C" w14:textId="77777777" w:rsidR="00F5166D" w:rsidRPr="00D11C54" w:rsidRDefault="00623797">
      <w:pPr>
        <w:spacing w:before="154"/>
        <w:ind w:left="2712" w:right="3070"/>
        <w:jc w:val="center"/>
        <w:rPr>
          <w:sz w:val="18"/>
          <w:lang w:val="el-GR"/>
        </w:rPr>
      </w:pPr>
      <w:bookmarkStart w:id="3" w:name="_bookmark0"/>
      <w:bookmarkEnd w:id="3"/>
      <w:r w:rsidRPr="00D11C54">
        <w:rPr>
          <w:b/>
          <w:sz w:val="18"/>
          <w:lang w:val="el-GR"/>
        </w:rPr>
        <w:t xml:space="preserve">Εικόνα 1. </w:t>
      </w:r>
      <w:r w:rsidRPr="00D11C54">
        <w:rPr>
          <w:sz w:val="18"/>
          <w:lang w:val="el-GR"/>
        </w:rPr>
        <w:t>Εννοιολογικό πλαίσιο και υποθέσεις της μελέτης.</w:t>
      </w:r>
    </w:p>
    <w:p w14:paraId="36CEC75B" w14:textId="77777777" w:rsidR="00F5166D" w:rsidRDefault="00623797">
      <w:pPr>
        <w:pStyle w:val="1"/>
        <w:numPr>
          <w:ilvl w:val="0"/>
          <w:numId w:val="3"/>
        </w:numPr>
        <w:tabs>
          <w:tab w:val="left" w:pos="2940"/>
        </w:tabs>
        <w:spacing w:before="176"/>
        <w:ind w:left="2939" w:hanging="213"/>
        <w:jc w:val="both"/>
      </w:pPr>
      <w:bookmarkStart w:id="4" w:name="Materials_and_Methods_"/>
      <w:bookmarkEnd w:id="4"/>
      <w:r>
        <w:t>Υλικά και μέθοδοι</w:t>
      </w:r>
    </w:p>
    <w:p w14:paraId="35C2C893" w14:textId="77777777" w:rsidR="00F5166D" w:rsidRDefault="00623797">
      <w:pPr>
        <w:pStyle w:val="a5"/>
        <w:numPr>
          <w:ilvl w:val="1"/>
          <w:numId w:val="3"/>
        </w:numPr>
        <w:tabs>
          <w:tab w:val="left" w:pos="3089"/>
        </w:tabs>
        <w:spacing w:before="14"/>
        <w:ind w:hanging="362"/>
        <w:jc w:val="both"/>
        <w:rPr>
          <w:rFonts w:ascii="Palatino Linotype"/>
          <w:i/>
          <w:sz w:val="20"/>
        </w:rPr>
      </w:pPr>
      <w:bookmarkStart w:id="5" w:name="Study_Design_and_Participants_"/>
      <w:bookmarkEnd w:id="5"/>
      <w:r>
        <w:rPr>
          <w:rFonts w:ascii="Palatino Linotype"/>
          <w:i/>
          <w:sz w:val="20"/>
        </w:rPr>
        <w:t>Σχεδιασμός</w:t>
      </w:r>
      <w:r>
        <w:rPr>
          <w:rFonts w:ascii="Palatino Linotype"/>
          <w:i/>
          <w:sz w:val="20"/>
        </w:rPr>
        <w:t xml:space="preserve"> </w:t>
      </w:r>
      <w:r>
        <w:rPr>
          <w:rFonts w:ascii="Palatino Linotype"/>
          <w:i/>
          <w:sz w:val="20"/>
        </w:rPr>
        <w:t>μελέτης</w:t>
      </w:r>
      <w:r>
        <w:rPr>
          <w:rFonts w:ascii="Palatino Linotype"/>
          <w:i/>
          <w:sz w:val="20"/>
        </w:rPr>
        <w:t xml:space="preserve"> </w:t>
      </w:r>
      <w:r>
        <w:rPr>
          <w:rFonts w:ascii="Palatino Linotype"/>
          <w:i/>
          <w:sz w:val="20"/>
        </w:rPr>
        <w:t>και</w:t>
      </w:r>
      <w:r>
        <w:rPr>
          <w:rFonts w:ascii="Palatino Linotype"/>
          <w:i/>
          <w:sz w:val="20"/>
        </w:rPr>
        <w:t xml:space="preserve"> </w:t>
      </w:r>
      <w:r>
        <w:rPr>
          <w:rFonts w:ascii="Palatino Linotype"/>
          <w:i/>
          <w:sz w:val="20"/>
        </w:rPr>
        <w:t>συμμετέχοντες</w:t>
      </w:r>
    </w:p>
    <w:p w14:paraId="0C957311" w14:textId="77777777" w:rsidR="00F5166D" w:rsidRPr="00D11C54" w:rsidRDefault="00623797">
      <w:pPr>
        <w:pStyle w:val="a3"/>
        <w:spacing w:before="61" w:line="256" w:lineRule="auto"/>
        <w:ind w:left="2721" w:right="104" w:firstLine="431"/>
        <w:jc w:val="both"/>
        <w:rPr>
          <w:lang w:val="el-GR"/>
        </w:rPr>
      </w:pPr>
      <w:r w:rsidRPr="00D11C54">
        <w:rPr>
          <w:w w:val="105"/>
          <w:lang w:val="el-GR"/>
        </w:rPr>
        <w:t xml:space="preserve">Πρόκειται για μια παρατηρητική, προοπτική μελέτη που πραγματοποιήθηκε στο Τμήμα Εκπαιδευτικών Επιστημών του Πανεπιστημίου της Κατάνια, με στόχο να διερευνήσει τη σχέση της διαπροσωπικής προσαρμογής με γενικευμένη αυτο-αποτελεσματικότητα και μεταγνωστικές δεξιότητες που εκφράζονται από μαθητές δευτεροβάθμιας εκπαίδευσης και λυκείου με και χωρίς </w:t>
      </w:r>
      <w:r>
        <w:rPr>
          <w:w w:val="105"/>
        </w:rPr>
        <w:t>SLD</w:t>
      </w:r>
      <w:r w:rsidRPr="00D11C54">
        <w:rPr>
          <w:w w:val="105"/>
          <w:lang w:val="el-GR"/>
        </w:rPr>
        <w:t xml:space="preserve">. Οι επιλέξιμοι συμμετέχοντες παρακολούθησαν σχολεία κατώτερης και ανώτερης δευτεροβάθμιας εκπαίδευσης στην επαρχία της Κατάνια, τα οποία κλήθηκαν να δηλώσουν την προθυμία τους να συμμετάσχουν στη μελέτη. Οι φοιτητές με </w:t>
      </w:r>
      <w:r>
        <w:rPr>
          <w:w w:val="105"/>
        </w:rPr>
        <w:t>SLD</w:t>
      </w:r>
      <w:r w:rsidRPr="00D11C54">
        <w:rPr>
          <w:w w:val="105"/>
          <w:lang w:val="el-GR"/>
        </w:rPr>
        <w:t xml:space="preserve"> προσλήφθηκαν </w:t>
      </w:r>
      <w:r w:rsidRPr="00D11C54">
        <w:rPr>
          <w:lang w:val="el-GR"/>
        </w:rPr>
        <w:t xml:space="preserve">από εξειδικευμένα κέντρα που λειτουργούν στην περιοχή της πόλης της Κατάνια που ήδη παρείχαν διαγνώσεις </w:t>
      </w:r>
      <w:r w:rsidRPr="00D11C54">
        <w:rPr>
          <w:w w:val="105"/>
          <w:lang w:val="el-GR"/>
        </w:rPr>
        <w:t xml:space="preserve">για όλους τους συμμετέχοντες, ακολουθώντας τα τυπικά κριτήρια </w:t>
      </w:r>
      <w:r>
        <w:rPr>
          <w:w w:val="105"/>
        </w:rPr>
        <w:t>ICD</w:t>
      </w:r>
      <w:r w:rsidRPr="00D11C54">
        <w:rPr>
          <w:w w:val="105"/>
          <w:lang w:val="el-GR"/>
        </w:rPr>
        <w:t>-11 [</w:t>
      </w:r>
      <w:hyperlink w:anchor="_bookmark14" w:history="1">
        <w:r w:rsidRPr="00D11C54">
          <w:rPr>
            <w:color w:val="0774B7"/>
            <w:w w:val="105"/>
            <w:lang w:val="el-GR"/>
          </w:rPr>
          <w:t>8</w:t>
        </w:r>
      </w:hyperlink>
      <w:r w:rsidRPr="00D11C54">
        <w:rPr>
          <w:w w:val="105"/>
          <w:lang w:val="el-GR"/>
        </w:rPr>
        <w:t>].</w:t>
      </w:r>
    </w:p>
    <w:p w14:paraId="5C6C0779" w14:textId="77777777" w:rsidR="00F5166D" w:rsidRPr="00D11C54" w:rsidRDefault="00623797">
      <w:pPr>
        <w:pStyle w:val="a3"/>
        <w:spacing w:before="2" w:line="256" w:lineRule="auto"/>
        <w:ind w:left="2720" w:right="113" w:firstLine="432"/>
        <w:jc w:val="both"/>
        <w:rPr>
          <w:lang w:val="el-GR"/>
        </w:rPr>
      </w:pPr>
      <w:r w:rsidRPr="00D11C54">
        <w:rPr>
          <w:lang w:val="el-GR"/>
        </w:rPr>
        <w:t>Οι συγγραφείς τήρησαν τον Κώδικα Δεοντολογίας για τους Ιταλούς ψυχολόγους (</w:t>
      </w:r>
      <w:r>
        <w:t>L</w:t>
      </w:r>
      <w:r w:rsidRPr="00D11C54">
        <w:rPr>
          <w:lang w:val="el-GR"/>
        </w:rPr>
        <w:t xml:space="preserve">. 18.02.1989, </w:t>
      </w:r>
      <w:r>
        <w:t>n</w:t>
      </w:r>
      <w:r w:rsidRPr="00D11C54">
        <w:rPr>
          <w:lang w:val="el-GR"/>
        </w:rPr>
        <w:t>. 56), το Νομοθετικό Διάταγμα για το απόρρητο των παρεχόμενων δεδομένων (</w:t>
      </w:r>
      <w:r>
        <w:t>DLGS</w:t>
      </w:r>
      <w:r w:rsidRPr="00D11C54">
        <w:rPr>
          <w:lang w:val="el-GR"/>
        </w:rPr>
        <w:t xml:space="preserve"> 196/2003) και τον Κώδικα Δεοντολογίας για την Ψυχολογική Έρευνα (27 Μαρτίου 2015) που θεσπίστηκε από την Ιταλική Ένωση Ψυχολόγων. Δεν συλλέχθηκαν ευαίσθητα δεδομένα που θα μπορούσαν να ταυτοποιήσουν τους συμμετέχοντες. Τα σχολεία που συμμετείχαν στην έρευνα είχαν προηγουμένως ενημερώσει τους γονείς των μαθητών να συναινέσουν στη συμμετοχή στη μελέτη. Το Συμβούλιο Αναθεώρησης Εσωτερικής Δεοντολογίας (</w:t>
      </w:r>
      <w:r>
        <w:t>IERB</w:t>
      </w:r>
      <w:r w:rsidRPr="00D11C54">
        <w:rPr>
          <w:lang w:val="el-GR"/>
        </w:rPr>
        <w:t>) του Τμήματος Επιστημών της Εκπαίδευσης ενέκρινε τη μελέτη.</w:t>
      </w:r>
    </w:p>
    <w:p w14:paraId="3767A4EB" w14:textId="77777777" w:rsidR="00F5166D" w:rsidRDefault="00623797">
      <w:pPr>
        <w:pStyle w:val="a5"/>
        <w:numPr>
          <w:ilvl w:val="1"/>
          <w:numId w:val="3"/>
        </w:numPr>
        <w:tabs>
          <w:tab w:val="left" w:pos="3089"/>
        </w:tabs>
        <w:spacing w:before="178"/>
        <w:ind w:hanging="362"/>
        <w:jc w:val="both"/>
        <w:rPr>
          <w:rFonts w:ascii="Palatino Linotype"/>
          <w:i/>
          <w:sz w:val="20"/>
        </w:rPr>
      </w:pPr>
      <w:bookmarkStart w:id="6" w:name="Measures_"/>
      <w:bookmarkEnd w:id="6"/>
      <w:r>
        <w:rPr>
          <w:rFonts w:ascii="Palatino Linotype"/>
          <w:i/>
          <w:sz w:val="20"/>
        </w:rPr>
        <w:t>Μέτρα</w:t>
      </w:r>
    </w:p>
    <w:p w14:paraId="1E2E9DCB" w14:textId="77777777" w:rsidR="00F5166D" w:rsidRDefault="00623797">
      <w:pPr>
        <w:pStyle w:val="a5"/>
        <w:numPr>
          <w:ilvl w:val="2"/>
          <w:numId w:val="3"/>
        </w:numPr>
        <w:tabs>
          <w:tab w:val="left" w:pos="3238"/>
        </w:tabs>
        <w:spacing w:before="19"/>
        <w:jc w:val="both"/>
        <w:rPr>
          <w:sz w:val="20"/>
        </w:rPr>
      </w:pPr>
      <w:bookmarkStart w:id="7" w:name="Socio-Demographic_Questionnaire_"/>
      <w:bookmarkEnd w:id="7"/>
      <w:r>
        <w:rPr>
          <w:sz w:val="20"/>
        </w:rPr>
        <w:t>Κοινωνικοδημογραφικό ερωτηματολόγιο</w:t>
      </w:r>
    </w:p>
    <w:p w14:paraId="7D684717" w14:textId="77777777" w:rsidR="00F5166D" w:rsidRPr="00D11C54" w:rsidRDefault="00623797">
      <w:pPr>
        <w:pStyle w:val="a3"/>
        <w:spacing w:before="77" w:line="256" w:lineRule="auto"/>
        <w:ind w:left="2727" w:right="105" w:firstLine="425"/>
        <w:jc w:val="both"/>
        <w:rPr>
          <w:lang w:val="el-GR"/>
        </w:rPr>
      </w:pPr>
      <w:r w:rsidRPr="00D11C54">
        <w:rPr>
          <w:w w:val="105"/>
          <w:lang w:val="el-GR"/>
        </w:rPr>
        <w:t xml:space="preserve">Ένα κοινωνικοδημογραφικό ερωτηματολόγιο χορηγήθηκε στους συμμετέχοντες για τη συλλογή πληροφοριών σχετικά με το φύλο, την ηλικία, την εθνικότητα των γονέων, τον τύπο του σχολείου που παρακολούθησαν και την κανονικότητα </w:t>
      </w:r>
      <w:r w:rsidRPr="00D11C54">
        <w:rPr>
          <w:lang w:val="el-GR"/>
        </w:rPr>
        <w:t xml:space="preserve">της σχολικής σταδιοδρομίας. Επιπλέον, ζητήθηκε από τους μαθητές με ΔΑΕ να υποδείξουν τις συγκεκριμένες διαγνωστικές τους </w:t>
      </w:r>
      <w:r w:rsidRPr="00D11C54">
        <w:rPr>
          <w:w w:val="105"/>
          <w:lang w:val="el-GR"/>
        </w:rPr>
        <w:t>μύτες (δυσλεξία, δυσαριθμησία, απορθογραφία, δυσγραφία), τη χρήση ή μη αντισταθμιστικών εργαλείων και εργαλείων που χρησιμοποίησαν.</w:t>
      </w:r>
    </w:p>
    <w:p w14:paraId="247C2F19" w14:textId="77777777" w:rsidR="00F5166D" w:rsidRDefault="00623797">
      <w:pPr>
        <w:pStyle w:val="a5"/>
        <w:numPr>
          <w:ilvl w:val="2"/>
          <w:numId w:val="3"/>
        </w:numPr>
        <w:tabs>
          <w:tab w:val="left" w:pos="3238"/>
        </w:tabs>
        <w:spacing w:before="198"/>
        <w:jc w:val="both"/>
        <w:rPr>
          <w:sz w:val="20"/>
        </w:rPr>
      </w:pPr>
      <w:bookmarkStart w:id="8" w:name="Interpersonal_Adaptation_Questionnaire_("/>
      <w:bookmarkEnd w:id="8"/>
      <w:r>
        <w:rPr>
          <w:spacing w:val="-1"/>
          <w:w w:val="105"/>
          <w:sz w:val="20"/>
        </w:rPr>
        <w:t>Ερωτηματολόγιο Διαπροσωπικής Προσαρμογής (IAQ)</w:t>
      </w:r>
    </w:p>
    <w:p w14:paraId="4B27A1BB" w14:textId="77777777" w:rsidR="00F5166D" w:rsidRPr="00D11C54" w:rsidRDefault="00623797">
      <w:pPr>
        <w:pStyle w:val="a3"/>
        <w:spacing w:before="76" w:line="249" w:lineRule="auto"/>
        <w:ind w:left="2717" w:right="104" w:firstLine="435"/>
        <w:jc w:val="both"/>
        <w:rPr>
          <w:lang w:val="el-GR"/>
        </w:rPr>
      </w:pPr>
      <w:r w:rsidRPr="00D11C54">
        <w:rPr>
          <w:lang w:val="el-GR"/>
        </w:rPr>
        <w:t xml:space="preserve">Το </w:t>
      </w:r>
      <w:r>
        <w:t>IAQ</w:t>
      </w:r>
      <w:r w:rsidRPr="00D11C54">
        <w:rPr>
          <w:lang w:val="el-GR"/>
        </w:rPr>
        <w:t xml:space="preserve"> [</w:t>
      </w:r>
      <w:hyperlink w:anchor="_bookmark33" w:history="1">
        <w:r w:rsidRPr="00D11C54">
          <w:rPr>
            <w:color w:val="0774B7"/>
            <w:lang w:val="el-GR"/>
          </w:rPr>
          <w:t>28,29</w:t>
        </w:r>
      </w:hyperlink>
      <w:hyperlink w:anchor="_bookmark34" w:history="1"/>
      <w:r w:rsidRPr="00D11C54">
        <w:rPr>
          <w:lang w:val="el-GR"/>
        </w:rPr>
        <w:t xml:space="preserve">] είναι ένας κατάλογος αυτοαναφοράς με ένα σύνολο στοιχείων για καθένα από τα οποία οι σπουδαστές αξιολογούν τον εαυτό τους σε μια κλίμακα συχνότητας 3 σημείων από 0 έως 2 βαθμούς ("0 = ποτέ; 1 = μερικές φορές. 2 = συχνά"). Συγκεκριμένα, το </w:t>
      </w:r>
      <w:r>
        <w:t>IAQ</w:t>
      </w:r>
      <w:r w:rsidRPr="00D11C54">
        <w:rPr>
          <w:lang w:val="el-GR"/>
        </w:rPr>
        <w:t xml:space="preserve"> αποτελείται από 75 προτάσεις, ομαδοποιημένες στις ακόλουθες πέντε υποκλίμακες: </w:t>
      </w:r>
      <w:r w:rsidRPr="00D11C54">
        <w:rPr>
          <w:rFonts w:ascii="Palatino Linotype" w:hAnsi="Palatino Linotype"/>
          <w:i/>
          <w:lang w:val="el-GR"/>
        </w:rPr>
        <w:t xml:space="preserve">Μη επιβεβαίωση </w:t>
      </w:r>
      <w:r w:rsidRPr="00D11C54">
        <w:rPr>
          <w:lang w:val="el-GR"/>
        </w:rPr>
        <w:t>("Είμαι σε θέση να υπερασπιστώ τα δικαιώματά μου-αντίστροφο στοιχείο";</w:t>
      </w:r>
    </w:p>
    <w:p w14:paraId="4A745FFF" w14:textId="77777777" w:rsidR="00F5166D" w:rsidRPr="00D11C54" w:rsidRDefault="00F5166D">
      <w:pPr>
        <w:spacing w:line="249" w:lineRule="auto"/>
        <w:jc w:val="both"/>
        <w:rPr>
          <w:lang w:val="el-GR"/>
        </w:rPr>
        <w:sectPr w:rsidR="00F5166D" w:rsidRPr="00D11C54">
          <w:pgSz w:w="11910" w:h="16840"/>
          <w:pgMar w:top="1400" w:right="580" w:bottom="280" w:left="600" w:header="1109" w:footer="0" w:gutter="0"/>
          <w:cols w:space="720"/>
        </w:sectPr>
      </w:pPr>
    </w:p>
    <w:p w14:paraId="6D93840A" w14:textId="77777777" w:rsidR="00F5166D" w:rsidRPr="00D11C54" w:rsidRDefault="00F5166D">
      <w:pPr>
        <w:pStyle w:val="a3"/>
        <w:rPr>
          <w:lang w:val="el-GR"/>
        </w:rPr>
      </w:pPr>
    </w:p>
    <w:p w14:paraId="4F3D5BA2" w14:textId="77777777" w:rsidR="00F5166D" w:rsidRPr="00D11C54" w:rsidRDefault="00F5166D">
      <w:pPr>
        <w:pStyle w:val="a3"/>
        <w:spacing w:before="10"/>
        <w:rPr>
          <w:sz w:val="19"/>
          <w:lang w:val="el-GR"/>
        </w:rPr>
      </w:pPr>
    </w:p>
    <w:p w14:paraId="7FF1342F" w14:textId="77777777" w:rsidR="00F5166D" w:rsidRPr="00D11C54" w:rsidRDefault="00623797">
      <w:pPr>
        <w:pStyle w:val="a3"/>
        <w:ind w:left="2697" w:right="105"/>
        <w:jc w:val="both"/>
        <w:rPr>
          <w:lang w:val="el-GR"/>
        </w:rPr>
      </w:pPr>
      <w:r w:rsidRPr="00D11C54">
        <w:rPr>
          <w:w w:val="105"/>
          <w:lang w:val="el-GR"/>
        </w:rPr>
        <w:t xml:space="preserve">"Εκφράζω ειλικρινά τα συναισθήματά μου σε όλους-αντίστροφο στοιχείο"); </w:t>
      </w:r>
      <w:r w:rsidRPr="00D11C54">
        <w:rPr>
          <w:rFonts w:ascii="Palatino Linotype" w:hAnsi="Palatino Linotype"/>
          <w:i/>
          <w:w w:val="105"/>
          <w:lang w:val="el-GR"/>
        </w:rPr>
        <w:t xml:space="preserve">Παρορμητικότητα </w:t>
      </w:r>
      <w:r w:rsidRPr="00D11C54">
        <w:rPr>
          <w:w w:val="105"/>
          <w:lang w:val="el-GR"/>
        </w:rPr>
        <w:t xml:space="preserve">("Οι άνθρωποι πιστεύουν ότι είναι πολύ δύσκολο να συμφωνήσουν μαζί μου"; "Μερικές φορές συμβαίνει να προσβάλω κάποιον"). </w:t>
      </w:r>
      <w:r w:rsidRPr="00D11C54">
        <w:rPr>
          <w:rFonts w:ascii="Palatino Linotype" w:hAnsi="Palatino Linotype"/>
          <w:i/>
          <w:lang w:val="el-GR"/>
        </w:rPr>
        <w:t xml:space="preserve">Ναρκισσισμός </w:t>
      </w:r>
      <w:r w:rsidRPr="00D11C54">
        <w:rPr>
          <w:lang w:val="el-GR"/>
        </w:rPr>
        <w:t xml:space="preserve">("Μου αρέσει να είμαι στην προσοχή των άλλων"; "Μου αρέσει η φυσική μου εμφάνιση"); </w:t>
      </w:r>
      <w:r w:rsidRPr="00D11C54">
        <w:rPr>
          <w:rFonts w:ascii="Palatino Linotype" w:hAnsi="Palatino Linotype"/>
          <w:i/>
          <w:lang w:val="el-GR"/>
        </w:rPr>
        <w:t xml:space="preserve">Κοινωνική ενασχόληση </w:t>
      </w:r>
      <w:r w:rsidRPr="00D11C54">
        <w:rPr>
          <w:rFonts w:ascii="Palatino Linotype" w:hAnsi="Palatino Linotype"/>
          <w:i/>
          <w:w w:val="105"/>
          <w:lang w:val="el-GR"/>
        </w:rPr>
        <w:t xml:space="preserve"> </w:t>
      </w:r>
      <w:r w:rsidRPr="00D11C54">
        <w:rPr>
          <w:w w:val="105"/>
          <w:lang w:val="el-GR"/>
        </w:rPr>
        <w:t xml:space="preserve">(«Όταν είμαι με άλλους ανθρώπους, ανησυχώ ότι συμπεριφέρομαι με γελοίο τρόπο»· </w:t>
      </w:r>
      <w:r w:rsidRPr="00D11C54">
        <w:rPr>
          <w:lang w:val="el-GR"/>
        </w:rPr>
        <w:t xml:space="preserve">"Φοβάμαι ότι άλλοι άνθρωποι θα μπορούσαν να αρνηθούν αυτό που κάνω"); και </w:t>
      </w:r>
      <w:r w:rsidRPr="00D11C54">
        <w:rPr>
          <w:rFonts w:ascii="Palatino Linotype" w:hAnsi="Palatino Linotype"/>
          <w:i/>
          <w:lang w:val="el-GR"/>
        </w:rPr>
        <w:t xml:space="preserve">Άγχος σε κοινωνικές καταστάσεις </w:t>
      </w:r>
      <w:r w:rsidRPr="00D11C54">
        <w:rPr>
          <w:lang w:val="el-GR"/>
        </w:rPr>
        <w:t xml:space="preserve">("Όταν </w:t>
      </w:r>
      <w:r w:rsidRPr="00D11C54">
        <w:rPr>
          <w:w w:val="105"/>
          <w:lang w:val="el-GR"/>
        </w:rPr>
        <w:t xml:space="preserve">μιλάω σε άλλους για πρώτη φορά, αισθάνομαι τον εαυτό μου ανήσυχο". «Το να μιλάω δημόσια είναι πρόβλημα για </w:t>
      </w:r>
      <w:r w:rsidRPr="00D11C54">
        <w:rPr>
          <w:lang w:val="el-GR"/>
        </w:rPr>
        <w:t xml:space="preserve">μένα»). Σε αυτή τη μελέτη, η εσωτερική συνοχή όλων των υποκλιμάκων του </w:t>
      </w:r>
      <w:r>
        <w:t>IAQ</w:t>
      </w:r>
      <w:r w:rsidRPr="00D11C54">
        <w:rPr>
          <w:lang w:val="el-GR"/>
        </w:rPr>
        <w:t xml:space="preserve"> είναι ικανοποιητική (από </w:t>
      </w:r>
      <w:r w:rsidRPr="00D11C54">
        <w:rPr>
          <w:w w:val="105"/>
          <w:lang w:val="el-GR"/>
        </w:rPr>
        <w:t>83 έως 93).</w:t>
      </w:r>
    </w:p>
    <w:p w14:paraId="636BE336" w14:textId="77777777" w:rsidR="00F5166D" w:rsidRDefault="00623797">
      <w:pPr>
        <w:pStyle w:val="a5"/>
        <w:numPr>
          <w:ilvl w:val="2"/>
          <w:numId w:val="3"/>
        </w:numPr>
        <w:tabs>
          <w:tab w:val="left" w:pos="3238"/>
        </w:tabs>
        <w:spacing w:before="208"/>
        <w:jc w:val="both"/>
        <w:rPr>
          <w:sz w:val="20"/>
        </w:rPr>
      </w:pPr>
      <w:bookmarkStart w:id="9" w:name="Generalized_Self-Efficacy_Scale_(GSE)_"/>
      <w:bookmarkEnd w:id="9"/>
      <w:r>
        <w:rPr>
          <w:w w:val="105"/>
          <w:sz w:val="20"/>
        </w:rPr>
        <w:t>Γενικευμένη κλίμακα αυτοαποτελεσματικότητας (GSE)</w:t>
      </w:r>
    </w:p>
    <w:p w14:paraId="3CF87D70" w14:textId="77777777" w:rsidR="00F5166D" w:rsidRPr="00D11C54" w:rsidRDefault="00623797">
      <w:pPr>
        <w:pStyle w:val="a3"/>
        <w:spacing w:before="65" w:line="252" w:lineRule="exact"/>
        <w:ind w:left="2719" w:right="103" w:firstLine="433"/>
        <w:jc w:val="both"/>
        <w:rPr>
          <w:lang w:val="el-GR"/>
        </w:rPr>
      </w:pPr>
      <w:r w:rsidRPr="00D11C54">
        <w:rPr>
          <w:lang w:val="el-GR"/>
        </w:rPr>
        <w:t xml:space="preserve">Το </w:t>
      </w:r>
      <w:r>
        <w:t>GSE</w:t>
      </w:r>
      <w:r w:rsidRPr="00D11C54">
        <w:rPr>
          <w:lang w:val="el-GR"/>
        </w:rPr>
        <w:t xml:space="preserve"> [</w:t>
      </w:r>
      <w:hyperlink w:anchor="_bookmark61" w:history="1">
        <w:r w:rsidRPr="00D11C54">
          <w:rPr>
            <w:color w:val="0774B7"/>
            <w:lang w:val="el-GR"/>
          </w:rPr>
          <w:t>66</w:t>
        </w:r>
      </w:hyperlink>
      <w:r w:rsidRPr="00D11C54">
        <w:rPr>
          <w:lang w:val="el-GR"/>
        </w:rPr>
        <w:t xml:space="preserve">] αξιολογεί τη γενική αίσθηση της αντιληπτής αυτο-αποτελεσματικότητας για την πρόβλεψη της αντιμετώπισης κρίσιμων καθημερινών γεγονότων και της προσαρμογής μετά από μια εμπειρία αγχωτικών καταστάσεων ζωής. Αυτή η κλίμακα αποτελείται από 10 στοιχεία ("Μπορώ πάντα να καταφέρω να λύσω δύσκολα προβλήματα αν προσπαθήσω αρκετά σκληρά", "Μπορώ να παραμείνω ήρεμος όταν αντιμετωπίζω δυσκολίες επειδή μπορώ να βασιστώ στις ικανότητές μου αντιμετώπισης", "Αν έχω πρόβλημα, μπορώ συνήθως να σκεφτώ μια λύση") σε μια κλίμακα </w:t>
      </w:r>
      <w:r>
        <w:t>Likert</w:t>
      </w:r>
      <w:r w:rsidRPr="00D11C54">
        <w:rPr>
          <w:lang w:val="el-GR"/>
        </w:rPr>
        <w:t xml:space="preserve"> που κυμαίνεται από το 1 (που αντιστοιχεί στο "καθόλου αλήθεια") έως 4 διαστήματα (που αντιστοιχούν στο "ακριβώς αλήθεια"). Η συνολική βαθμολογία κυμαίνεται από 10 έως 40 βαθμούς. Για αυτήν την κλίμακα, η εσωτερική συνοχή ικανοποιείται για το δείγμα μας με τιμή </w:t>
      </w:r>
      <w:r w:rsidRPr="00D11C54">
        <w:rPr>
          <w:rFonts w:ascii="Lucida Sans Unicode" w:hAnsi="Lucida Sans Unicode"/>
          <w:lang w:val="el-GR"/>
        </w:rPr>
        <w:t xml:space="preserve">α </w:t>
      </w:r>
      <w:r w:rsidRPr="00D11C54">
        <w:rPr>
          <w:lang w:val="el-GR"/>
        </w:rPr>
        <w:t>ίση με 93.</w:t>
      </w:r>
    </w:p>
    <w:p w14:paraId="23F0FDF7" w14:textId="77777777" w:rsidR="00F5166D" w:rsidRDefault="00623797">
      <w:pPr>
        <w:pStyle w:val="a5"/>
        <w:numPr>
          <w:ilvl w:val="2"/>
          <w:numId w:val="3"/>
        </w:numPr>
        <w:tabs>
          <w:tab w:val="left" w:pos="3238"/>
        </w:tabs>
        <w:spacing w:before="202"/>
        <w:jc w:val="both"/>
        <w:rPr>
          <w:sz w:val="20"/>
        </w:rPr>
      </w:pPr>
      <w:bookmarkStart w:id="10" w:name="Metacognitive_Skills_Scale_(MSS)_"/>
      <w:bookmarkEnd w:id="10"/>
      <w:r>
        <w:rPr>
          <w:w w:val="105"/>
          <w:sz w:val="20"/>
        </w:rPr>
        <w:t>Κλίμακα Μεταγνωστικών Δεξιοτήτων (MSS)</w:t>
      </w:r>
    </w:p>
    <w:p w14:paraId="6F4BC31F" w14:textId="77777777" w:rsidR="00F5166D" w:rsidRPr="00D11C54" w:rsidRDefault="00623797">
      <w:pPr>
        <w:pStyle w:val="a3"/>
        <w:spacing w:before="64" w:line="252" w:lineRule="exact"/>
        <w:ind w:left="2721" w:right="103" w:firstLine="431"/>
        <w:jc w:val="both"/>
        <w:rPr>
          <w:lang w:val="el-GR"/>
        </w:rPr>
      </w:pPr>
      <w:r w:rsidRPr="00D11C54">
        <w:rPr>
          <w:lang w:val="el-GR"/>
        </w:rPr>
        <w:t xml:space="preserve">Το </w:t>
      </w:r>
      <w:r>
        <w:t>MSS</w:t>
      </w:r>
      <w:r w:rsidRPr="00D11C54">
        <w:rPr>
          <w:lang w:val="el-GR"/>
        </w:rPr>
        <w:t xml:space="preserve"> [</w:t>
      </w:r>
      <w:hyperlink w:anchor="_bookmark62" w:history="1">
        <w:r w:rsidRPr="00D11C54">
          <w:rPr>
            <w:color w:val="0774B7"/>
            <w:lang w:val="el-GR"/>
          </w:rPr>
          <w:t>67</w:t>
        </w:r>
      </w:hyperlink>
      <w:r w:rsidRPr="00D11C54">
        <w:rPr>
          <w:lang w:val="el-GR"/>
        </w:rPr>
        <w:t xml:space="preserve">] χρησιμοποιήθηκε για την αξιολόγηση των μεταγνωστικών δεξιοτήτων και αποτελείται από 30 ερωτήσεις με απαντήσεις σε κλίμακα </w:t>
      </w:r>
      <w:r>
        <w:t>Likert</w:t>
      </w:r>
      <w:r w:rsidRPr="00D11C54">
        <w:rPr>
          <w:lang w:val="el-GR"/>
        </w:rPr>
        <w:t xml:space="preserve"> 5 σημείων που κυμαίνονται από το 1 (που αντιστοιχεί στο «διαφωνώ απόλυτα») έως τα 5 διαστήματα (που αντιστοιχούν στο «συμφωνώ απόλυτα»). Συνολικά, αυτό το εργαλείο αξιολογεί τον τρόπο με τον οποίο τα άτομα τείνουν να χρησιμοποιούν τις μεταγνωστικές γνώσεις και τις στρατηγικές μάθησης (π.χ. «χρησιμοποιώ τις προηγούμενες εμπειρίες μου ενώ οργανώνω τις νέες μου γνώσεις», «αξιολογώ εάν η γνωστική στρατηγική που χρησιμοποιώ ήταν επιτυχής ή όχι»). πόσο γνωρίζουν τις μαθησιακές τους ικανότητες (π.χ. «Δεν έχω ακριβή ιδέα για το πώς να οργανώσω το μαθησιακό μου αντικείμενο», «Προετοιμάζω το μαθησιακό περιβάλλον που είναι απαραίτητο για τη μαθησιακή διαδικασία»); και πώς τα άτομα μπορούν να σχεδιάσουν, να παρακολουθήσουν και να τροποποιήσουν τις στρατηγικές που χρησιμοποιούνται για να κάνουν τη μάθηση πιο αποτελεσματική (π.χ., "Είναι σημαντικό για μένα να επισκοπώ τις γνώσεις μου από καιρό σε καιρό για να καθορίσω πόσα και τι έμαθα", "Δεν αφιερώνω πολύ χρόνο για την παρακολούθηση του πόσα έμαθα για το θέμα κατά τη διάρκεια της μαθησιακής διαδικασίας-αντίστροφο στοιχείο"). Η συνολική βαθμολογία κυμαίνεται από 55 έως 275 βαθμούς. Η εσωτερική συνοχή του </w:t>
      </w:r>
      <w:r>
        <w:t>MSS</w:t>
      </w:r>
      <w:r w:rsidRPr="00D11C54">
        <w:rPr>
          <w:lang w:val="el-GR"/>
        </w:rPr>
        <w:t xml:space="preserve"> για αυτή τη μελέτη είναι καλή, με τιμή </w:t>
      </w:r>
      <w:r w:rsidRPr="00D11C54">
        <w:rPr>
          <w:rFonts w:ascii="Lucida Sans Unicode" w:hAnsi="Lucida Sans Unicode"/>
          <w:lang w:val="el-GR"/>
        </w:rPr>
        <w:t xml:space="preserve">α </w:t>
      </w:r>
      <w:r w:rsidRPr="00D11C54">
        <w:rPr>
          <w:lang w:val="el-GR"/>
        </w:rPr>
        <w:t>ίση με 94.</w:t>
      </w:r>
    </w:p>
    <w:p w14:paraId="488966A9" w14:textId="77777777" w:rsidR="00F5166D" w:rsidRDefault="00623797">
      <w:pPr>
        <w:pStyle w:val="a5"/>
        <w:numPr>
          <w:ilvl w:val="1"/>
          <w:numId w:val="3"/>
        </w:numPr>
        <w:tabs>
          <w:tab w:val="left" w:pos="3089"/>
        </w:tabs>
        <w:spacing w:before="177"/>
        <w:ind w:hanging="362"/>
        <w:jc w:val="both"/>
        <w:rPr>
          <w:rFonts w:ascii="Palatino Linotype"/>
          <w:i/>
          <w:sz w:val="20"/>
        </w:rPr>
      </w:pPr>
      <w:bookmarkStart w:id="11" w:name="Procedure_"/>
      <w:bookmarkEnd w:id="11"/>
      <w:r>
        <w:rPr>
          <w:rFonts w:ascii="Palatino Linotype"/>
          <w:i/>
          <w:sz w:val="20"/>
        </w:rPr>
        <w:t>Διαδικασία</w:t>
      </w:r>
    </w:p>
    <w:p w14:paraId="5A343889" w14:textId="77777777" w:rsidR="00F5166D" w:rsidRPr="00D11C54" w:rsidRDefault="00623797">
      <w:pPr>
        <w:pStyle w:val="a3"/>
        <w:spacing w:before="61" w:line="256" w:lineRule="auto"/>
        <w:ind w:left="2721" w:right="138" w:firstLine="431"/>
        <w:jc w:val="both"/>
        <w:rPr>
          <w:lang w:val="el-GR"/>
        </w:rPr>
      </w:pPr>
      <w:r w:rsidRPr="00D11C54">
        <w:rPr>
          <w:lang w:val="el-GR"/>
        </w:rPr>
        <w:t>Οι συμμετέχοντες στη μελέτη εξετάστηκαν κατά τη διάρκεια και μετά τις σχολικές ώρες σε ατομικά και ομαδικά περιβάλλοντα (έως πέντε μαθήματα) μεταξύ Νοεμβρίου 2019 και Φεβρουαρίου 2020. Δύο ψυχολόγοι χορήγησαν τα ερωτηματολόγια.</w:t>
      </w:r>
    </w:p>
    <w:p w14:paraId="2069C320" w14:textId="77777777" w:rsidR="00F5166D" w:rsidRDefault="00623797">
      <w:pPr>
        <w:pStyle w:val="a3"/>
        <w:spacing w:line="256" w:lineRule="auto"/>
        <w:ind w:left="2719" w:right="138" w:firstLine="433"/>
        <w:jc w:val="both"/>
      </w:pPr>
      <w:r w:rsidRPr="00D11C54">
        <w:rPr>
          <w:lang w:val="el-GR"/>
        </w:rPr>
        <w:t xml:space="preserve">Οι διαδικασίες μελέτης εξηγήθηκαν στους μαθητές και απαντήθηκαν τυχόν ερωτήσεις τους. Οι οδηγίες ανέφεραν ότι τα ερωτηματολόγια ήταν προαιρετικά και ότι οι απαντήσεις ήταν εμπιστευτικές. </w:t>
      </w:r>
      <w:r>
        <w:t>Η συμπλήρωση των ερωτηματολογίων διήρκεσε περίπου 45 λεπτά.</w:t>
      </w:r>
    </w:p>
    <w:p w14:paraId="146F76EC" w14:textId="77777777" w:rsidR="00F5166D" w:rsidRDefault="00623797">
      <w:pPr>
        <w:pStyle w:val="a5"/>
        <w:numPr>
          <w:ilvl w:val="1"/>
          <w:numId w:val="3"/>
        </w:numPr>
        <w:tabs>
          <w:tab w:val="left" w:pos="3089"/>
        </w:tabs>
        <w:spacing w:before="178"/>
        <w:ind w:hanging="362"/>
        <w:jc w:val="both"/>
        <w:rPr>
          <w:rFonts w:ascii="Palatino Linotype"/>
          <w:i/>
          <w:sz w:val="20"/>
        </w:rPr>
      </w:pPr>
      <w:bookmarkStart w:id="12" w:name="Statistics_"/>
      <w:bookmarkEnd w:id="12"/>
      <w:r>
        <w:rPr>
          <w:rFonts w:ascii="Palatino Linotype"/>
          <w:i/>
          <w:sz w:val="20"/>
        </w:rPr>
        <w:t>Στατιστική</w:t>
      </w:r>
    </w:p>
    <w:p w14:paraId="1331FC7A" w14:textId="77777777" w:rsidR="00F5166D" w:rsidRPr="00D11C54" w:rsidRDefault="00623797">
      <w:pPr>
        <w:pStyle w:val="a3"/>
        <w:spacing w:before="61" w:line="256" w:lineRule="auto"/>
        <w:ind w:left="2721" w:right="103" w:firstLine="431"/>
        <w:jc w:val="both"/>
        <w:rPr>
          <w:lang w:val="el-GR"/>
        </w:rPr>
      </w:pPr>
      <w:r w:rsidRPr="00D11C54">
        <w:rPr>
          <w:lang w:val="el-GR"/>
        </w:rPr>
        <w:t xml:space="preserve">Το δείγμα έχει περιγραφεί στα κλινικά και δημογραφικά χαρακτηριστικά του χρησιμοποιώντας τεχνικές περιγραφικής στατιστικής. Οι ποιοτικές μεταβλητές έχουν περιγραφεί με απόλυτες συχνότητες και ποσοστά και οι ποσοτικές μεταβλητές έχουν συνοψιστεί με μέση και τυπική απόκλιση. Συγκρίσεις μεταξύ των δύο ομάδων ασθενών πραγματοποιήθηκαν εφαρμόζοντας τη δοκιμή </w:t>
      </w:r>
      <w:r>
        <w:t>chi</w:t>
      </w:r>
      <w:r w:rsidRPr="00D11C54">
        <w:rPr>
          <w:lang w:val="el-GR"/>
        </w:rPr>
        <w:t>-</w:t>
      </w:r>
      <w:r>
        <w:t>square</w:t>
      </w:r>
      <w:r w:rsidRPr="00D11C54">
        <w:rPr>
          <w:lang w:val="el-GR"/>
        </w:rPr>
        <w:t xml:space="preserve"> (ή την ακριβή δοκιμή </w:t>
      </w:r>
      <w:r>
        <w:t>Fisher</w:t>
      </w:r>
      <w:r w:rsidRPr="00D11C54">
        <w:rPr>
          <w:lang w:val="el-GR"/>
        </w:rPr>
        <w:t xml:space="preserve">) για κατηγορικές μεταβλητές. Η δοκιμή </w:t>
      </w:r>
      <w:r>
        <w:t>Mann</w:t>
      </w:r>
      <w:r w:rsidRPr="00D11C54">
        <w:rPr>
          <w:lang w:val="el-GR"/>
        </w:rPr>
        <w:t>-</w:t>
      </w:r>
      <w:r>
        <w:t>Whitney</w:t>
      </w:r>
      <w:r w:rsidRPr="00D11C54">
        <w:rPr>
          <w:lang w:val="el-GR"/>
        </w:rPr>
        <w:t xml:space="preserve"> έχει χρησιμοποιηθεί για συνεχείς, όχι κανονικά κατανεμημένες μεταβλητές. Για την αξιολόγηση της υπόθεσης </w:t>
      </w:r>
      <w:r>
        <w:t>H</w:t>
      </w:r>
      <w:r w:rsidRPr="00D11C54">
        <w:rPr>
          <w:lang w:val="el-GR"/>
        </w:rPr>
        <w:t xml:space="preserve">5, η οποία είναι ο κύριος στόχος της μελέτης, πραγματοποιήθηκε λογιστική παλινδρόμηση, λαμβάνοντας υπόψη τη διχοτομημένη έκδοση του </w:t>
      </w:r>
      <w:r>
        <w:t>MSS</w:t>
      </w:r>
      <w:r w:rsidRPr="00D11C54">
        <w:rPr>
          <w:lang w:val="el-GR"/>
        </w:rPr>
        <w:t xml:space="preserve"> </w:t>
      </w:r>
      <w:r>
        <w:t>TOT</w:t>
      </w:r>
      <w:r w:rsidRPr="00D11C54">
        <w:rPr>
          <w:lang w:val="el-GR"/>
        </w:rPr>
        <w:t xml:space="preserve"> (</w:t>
      </w:r>
      <w:r>
        <w:t>MSS</w:t>
      </w:r>
      <w:r w:rsidRPr="00D11C54">
        <w:rPr>
          <w:lang w:val="el-GR"/>
        </w:rPr>
        <w:t xml:space="preserve"> </w:t>
      </w:r>
      <w:r>
        <w:t>TOT</w:t>
      </w:r>
      <w:r w:rsidRPr="00D11C54">
        <w:rPr>
          <w:lang w:val="el-GR"/>
        </w:rPr>
        <w:t xml:space="preserve"> έχει χωριστεί σε υψηλή και χαμηλή υποθέτοντας τη διάμεση τιμή ως αποκοπή) ως εξαρτημένη μεταβλητή και τη μεταβλητή λαμβάνοντας τιμή = 0 σε περίπτωση που δεν χρησιμοποιούνται αντισταθμιστικά εργαλεία και τιμή = 1 εάν τουλάχιστον ένα αντισταθμιστικό εργαλείο χρησιμοποιείται ως ανεξάρτητο. Το μέγεθος του εφέ έχει υπολογιστεί</w:t>
      </w:r>
    </w:p>
    <w:p w14:paraId="7FAF8565" w14:textId="77777777" w:rsidR="00F5166D" w:rsidRPr="00D11C54" w:rsidRDefault="00F5166D">
      <w:pPr>
        <w:spacing w:line="256" w:lineRule="auto"/>
        <w:jc w:val="both"/>
        <w:rPr>
          <w:lang w:val="el-GR"/>
        </w:rPr>
        <w:sectPr w:rsidR="00F5166D" w:rsidRPr="00D11C54">
          <w:pgSz w:w="11910" w:h="16840"/>
          <w:pgMar w:top="1400" w:right="580" w:bottom="280" w:left="600" w:header="1109" w:footer="0" w:gutter="0"/>
          <w:cols w:space="720"/>
        </w:sectPr>
      </w:pPr>
    </w:p>
    <w:p w14:paraId="0B9D72EC" w14:textId="77777777" w:rsidR="00F5166D" w:rsidRPr="00D11C54" w:rsidRDefault="00F5166D">
      <w:pPr>
        <w:pStyle w:val="a3"/>
        <w:rPr>
          <w:lang w:val="el-GR"/>
        </w:rPr>
      </w:pPr>
    </w:p>
    <w:p w14:paraId="324E8BB2" w14:textId="77777777" w:rsidR="00F5166D" w:rsidRPr="00D11C54" w:rsidRDefault="00F5166D">
      <w:pPr>
        <w:pStyle w:val="a3"/>
        <w:spacing w:before="10"/>
        <w:rPr>
          <w:sz w:val="19"/>
          <w:lang w:val="el-GR"/>
        </w:rPr>
      </w:pPr>
    </w:p>
    <w:p w14:paraId="0A51FBD7" w14:textId="77777777" w:rsidR="00F5166D" w:rsidRPr="00D11C54" w:rsidRDefault="00623797">
      <w:pPr>
        <w:pStyle w:val="a3"/>
        <w:spacing w:line="249" w:lineRule="auto"/>
        <w:ind w:left="2721" w:right="137" w:firstLine="5"/>
        <w:jc w:val="both"/>
        <w:rPr>
          <w:lang w:val="el-GR"/>
        </w:rPr>
      </w:pPr>
      <w:r w:rsidRPr="00D11C54">
        <w:rPr>
          <w:w w:val="105"/>
          <w:lang w:val="el-GR"/>
        </w:rPr>
        <w:t xml:space="preserve">και απευθύνεται επίσης. Μια </w:t>
      </w:r>
      <w:r w:rsidRPr="00D11C54">
        <w:rPr>
          <w:rFonts w:ascii="Palatino Linotype"/>
          <w:i/>
          <w:w w:val="105"/>
          <w:lang w:val="el-GR"/>
        </w:rPr>
        <w:t xml:space="preserve"> </w:t>
      </w:r>
      <w:r w:rsidRPr="00D11C54">
        <w:rPr>
          <w:rFonts w:ascii="Palatino Linotype"/>
          <w:i/>
          <w:w w:val="105"/>
          <w:lang w:val="el-GR"/>
        </w:rPr>
        <w:t>τιμή</w:t>
      </w:r>
      <w:r w:rsidRPr="00D11C54">
        <w:rPr>
          <w:rFonts w:ascii="Palatino Linotype"/>
          <w:i/>
          <w:w w:val="105"/>
          <w:lang w:val="el-GR"/>
        </w:rPr>
        <w:t xml:space="preserve"> </w:t>
      </w:r>
      <w:r>
        <w:rPr>
          <w:rFonts w:ascii="Palatino Linotype"/>
          <w:i/>
          <w:w w:val="105"/>
        </w:rPr>
        <w:t>p</w:t>
      </w:r>
      <w:r w:rsidRPr="00D11C54">
        <w:rPr>
          <w:w w:val="105"/>
          <w:lang w:val="el-GR"/>
        </w:rPr>
        <w:t xml:space="preserve"> &lt; 0,05 έχει θεωρηθεί σημαντική. Οι αναλύσεις πραγματοποιήθηκαν χρησιμοποιώντας το Στατιστικό Πακέτο για τις Κοινωνικές Επιστήμες (</w:t>
      </w:r>
      <w:r>
        <w:rPr>
          <w:w w:val="105"/>
        </w:rPr>
        <w:t>SPSS</w:t>
      </w:r>
      <w:r w:rsidRPr="00D11C54">
        <w:rPr>
          <w:w w:val="105"/>
          <w:lang w:val="el-GR"/>
        </w:rPr>
        <w:t>) έκδοση 25.0 (</w:t>
      </w:r>
      <w:r>
        <w:rPr>
          <w:w w:val="105"/>
        </w:rPr>
        <w:t>IBM</w:t>
      </w:r>
      <w:r w:rsidRPr="00D11C54">
        <w:rPr>
          <w:w w:val="105"/>
          <w:lang w:val="el-GR"/>
        </w:rPr>
        <w:t xml:space="preserve"> </w:t>
      </w:r>
      <w:r>
        <w:rPr>
          <w:w w:val="105"/>
        </w:rPr>
        <w:t>Corporation</w:t>
      </w:r>
      <w:r w:rsidRPr="00D11C54">
        <w:rPr>
          <w:w w:val="105"/>
          <w:lang w:val="el-GR"/>
        </w:rPr>
        <w:t xml:space="preserve">, </w:t>
      </w:r>
      <w:r>
        <w:rPr>
          <w:w w:val="105"/>
        </w:rPr>
        <w:t>Armonk</w:t>
      </w:r>
      <w:r w:rsidRPr="00D11C54">
        <w:rPr>
          <w:w w:val="105"/>
          <w:lang w:val="el-GR"/>
        </w:rPr>
        <w:t xml:space="preserve">, </w:t>
      </w:r>
      <w:r>
        <w:rPr>
          <w:w w:val="105"/>
        </w:rPr>
        <w:t>NY</w:t>
      </w:r>
      <w:r w:rsidRPr="00D11C54">
        <w:rPr>
          <w:w w:val="105"/>
          <w:lang w:val="el-GR"/>
        </w:rPr>
        <w:t xml:space="preserve">, </w:t>
      </w:r>
      <w:r>
        <w:rPr>
          <w:w w:val="105"/>
        </w:rPr>
        <w:t>USA</w:t>
      </w:r>
      <w:r w:rsidRPr="00D11C54">
        <w:rPr>
          <w:w w:val="105"/>
          <w:lang w:val="el-GR"/>
        </w:rPr>
        <w:t>).</w:t>
      </w:r>
    </w:p>
    <w:p w14:paraId="06372839" w14:textId="77777777" w:rsidR="00F5166D" w:rsidRDefault="00623797">
      <w:pPr>
        <w:pStyle w:val="1"/>
        <w:numPr>
          <w:ilvl w:val="0"/>
          <w:numId w:val="3"/>
        </w:numPr>
        <w:tabs>
          <w:tab w:val="left" w:pos="2940"/>
        </w:tabs>
        <w:spacing w:before="202"/>
        <w:ind w:left="2939" w:hanging="213"/>
        <w:jc w:val="both"/>
      </w:pPr>
      <w:bookmarkStart w:id="13" w:name="Results_"/>
      <w:bookmarkEnd w:id="13"/>
      <w:r>
        <w:t>Αποτελέσματα</w:t>
      </w:r>
    </w:p>
    <w:p w14:paraId="0D0EC044" w14:textId="77777777" w:rsidR="00F5166D" w:rsidRPr="00D11C54" w:rsidRDefault="00623797">
      <w:pPr>
        <w:pStyle w:val="a3"/>
        <w:spacing w:before="76" w:line="256" w:lineRule="auto"/>
        <w:ind w:left="2717" w:right="113" w:firstLine="435"/>
        <w:jc w:val="both"/>
        <w:rPr>
          <w:lang w:val="el-GR"/>
        </w:rPr>
      </w:pPr>
      <w:r w:rsidRPr="00D11C54">
        <w:rPr>
          <w:w w:val="105"/>
          <w:lang w:val="el-GR"/>
        </w:rPr>
        <w:t xml:space="preserve">Συνολικά </w:t>
      </w:r>
      <w:r>
        <w:rPr>
          <w:w w:val="105"/>
        </w:rPr>
        <w:t>N</w:t>
      </w:r>
      <w:r w:rsidRPr="00D11C54">
        <w:rPr>
          <w:w w:val="105"/>
          <w:lang w:val="el-GR"/>
        </w:rPr>
        <w:t xml:space="preserve"> = 564 άτομα, 41,8% άνδρες και 58,2% γυναίκες, έχουν συμπεριληφθεί στη μελέτη. Η μέση ηλικία του γενικού δείγματος είναι 16,1 έτη (</w:t>
      </w:r>
      <w:r>
        <w:rPr>
          <w:w w:val="105"/>
        </w:rPr>
        <w:t>SD</w:t>
      </w:r>
      <w:r w:rsidRPr="00D11C54">
        <w:rPr>
          <w:w w:val="105"/>
          <w:lang w:val="el-GR"/>
        </w:rPr>
        <w:t xml:space="preserve"> = 1,7). Στο δείγμα, </w:t>
      </w:r>
      <w:r w:rsidRPr="00D11C54">
        <w:rPr>
          <w:lang w:val="el-GR"/>
        </w:rPr>
        <w:t xml:space="preserve">175 μαθητές διαγνώστηκαν με </w:t>
      </w:r>
      <w:r>
        <w:t>SLD</w:t>
      </w:r>
      <w:r w:rsidRPr="00D11C54">
        <w:rPr>
          <w:lang w:val="el-GR"/>
        </w:rPr>
        <w:t xml:space="preserve"> (31,0%). Ο πίνακας </w:t>
      </w:r>
      <w:hyperlink w:anchor="_bookmark1" w:history="1">
        <w:r w:rsidRPr="00D11C54">
          <w:rPr>
            <w:color w:val="0774B7"/>
            <w:lang w:val="el-GR"/>
          </w:rPr>
          <w:t xml:space="preserve">1 </w:t>
        </w:r>
      </w:hyperlink>
      <w:r w:rsidRPr="00D11C54">
        <w:rPr>
          <w:lang w:val="el-GR"/>
        </w:rPr>
        <w:t xml:space="preserve">αναφέρει δημογραφικά στοιχεία σχετικά με </w:t>
      </w:r>
      <w:r w:rsidRPr="00D11C54">
        <w:rPr>
          <w:w w:val="105"/>
          <w:lang w:val="el-GR"/>
        </w:rPr>
        <w:t xml:space="preserve"> τις δύο ομάδες μελέτης των μαθητών (</w:t>
      </w:r>
      <w:r>
        <w:rPr>
          <w:w w:val="105"/>
        </w:rPr>
        <w:t>SLD</w:t>
      </w:r>
      <w:r w:rsidRPr="00D11C54">
        <w:rPr>
          <w:w w:val="105"/>
          <w:lang w:val="el-GR"/>
        </w:rPr>
        <w:t xml:space="preserve"> και </w:t>
      </w:r>
      <w:r>
        <w:rPr>
          <w:w w:val="105"/>
        </w:rPr>
        <w:t>NO</w:t>
      </w:r>
      <w:r w:rsidRPr="00D11C54">
        <w:rPr>
          <w:w w:val="105"/>
          <w:lang w:val="el-GR"/>
        </w:rPr>
        <w:t>-</w:t>
      </w:r>
      <w:r>
        <w:rPr>
          <w:w w:val="105"/>
        </w:rPr>
        <w:t>SLD</w:t>
      </w:r>
      <w:r w:rsidRPr="00D11C54">
        <w:rPr>
          <w:w w:val="105"/>
          <w:lang w:val="el-GR"/>
        </w:rPr>
        <w:t>).</w:t>
      </w:r>
    </w:p>
    <w:p w14:paraId="09F2B4F7" w14:textId="77777777" w:rsidR="00F5166D" w:rsidRPr="00D11C54" w:rsidRDefault="00623797">
      <w:pPr>
        <w:pStyle w:val="a3"/>
        <w:spacing w:before="1" w:line="256" w:lineRule="auto"/>
        <w:ind w:left="2727" w:right="103" w:firstLine="425"/>
        <w:jc w:val="right"/>
        <w:rPr>
          <w:lang w:val="el-GR"/>
        </w:rPr>
      </w:pPr>
      <w:r w:rsidRPr="00D11C54">
        <w:rPr>
          <w:lang w:val="el-GR"/>
        </w:rPr>
        <w:t>Το μέγεθος του δείγματος είναι κατάλληλο για τη διερεύνηση του πρωταρχικού στόχου της μελέτης (</w:t>
      </w:r>
      <w:r>
        <w:t>H</w:t>
      </w:r>
      <w:r w:rsidRPr="00D11C54">
        <w:rPr>
          <w:lang w:val="el-GR"/>
        </w:rPr>
        <w:t>5). Αναλυτικότερα, σύμφωνα με τον εμπειρικό κανόνα [</w:t>
      </w:r>
      <w:hyperlink w:anchor="_bookmark63" w:history="1">
        <w:r w:rsidRPr="00D11C54">
          <w:rPr>
            <w:color w:val="0774B7"/>
            <w:lang w:val="el-GR"/>
          </w:rPr>
          <w:t>68</w:t>
        </w:r>
      </w:hyperlink>
      <w:r w:rsidRPr="00D11C54">
        <w:rPr>
          <w:lang w:val="el-GR"/>
        </w:rPr>
        <w:t>], απαιτείται συνολικός αριθμός 10 συμβάντων για τον έλεγχο ενός μόνο προγνωστικού παράγοντα. Σε αυτή τη μελέτη, υπάρχουν 277 μαθητές με υψηλό επίπεδο μεταγνωστικών δεξιοτήτων και υπάρχει μόνο ένας προγνωστικός παράγοντας (η χρήση αντισταθμιστικών εργαλείων).</w:t>
      </w:r>
    </w:p>
    <w:p w14:paraId="3F152D6A" w14:textId="77777777" w:rsidR="00F5166D" w:rsidRPr="00D11C54" w:rsidRDefault="00623797">
      <w:pPr>
        <w:pStyle w:val="a3"/>
        <w:spacing w:before="3" w:line="237" w:lineRule="auto"/>
        <w:ind w:left="2721" w:right="113" w:firstLine="431"/>
        <w:jc w:val="both"/>
        <w:rPr>
          <w:lang w:val="el-GR"/>
        </w:rPr>
      </w:pPr>
      <w:r w:rsidRPr="00D11C54">
        <w:rPr>
          <w:lang w:val="el-GR"/>
        </w:rPr>
        <w:t>Η κατανομή του φύλου στις ομάδες παρουσιάζει στατιστικά σημαντική διαφορά (</w:t>
      </w:r>
      <w:r>
        <w:rPr>
          <w:rFonts w:ascii="Palatino Linotype"/>
          <w:i/>
        </w:rPr>
        <w:t>p</w:t>
      </w:r>
      <w:r w:rsidRPr="00D11C54">
        <w:rPr>
          <w:rFonts w:ascii="Palatino Linotype"/>
          <w:i/>
          <w:lang w:val="el-GR"/>
        </w:rPr>
        <w:t xml:space="preserve"> </w:t>
      </w:r>
      <w:r w:rsidRPr="00D11C54">
        <w:rPr>
          <w:lang w:val="el-GR"/>
        </w:rPr>
        <w:t xml:space="preserve">= 0,007), με 61,7% και 50,3% γυναίκες στην ομάδα </w:t>
      </w:r>
      <w:r>
        <w:t>NO</w:t>
      </w:r>
      <w:r w:rsidRPr="00D11C54">
        <w:rPr>
          <w:lang w:val="el-GR"/>
        </w:rPr>
        <w:t>-</w:t>
      </w:r>
      <w:r>
        <w:t>SLD</w:t>
      </w:r>
      <w:r w:rsidRPr="00D11C54">
        <w:rPr>
          <w:lang w:val="el-GR"/>
        </w:rPr>
        <w:t xml:space="preserve"> και στην ομάδα </w:t>
      </w:r>
      <w:r>
        <w:t>SLD</w:t>
      </w:r>
      <w:r w:rsidRPr="00D11C54">
        <w:rPr>
          <w:lang w:val="el-GR"/>
        </w:rPr>
        <w:t>, αντίστοιχα. Η μέση ηλικία ήταν 16,6 έτη (</w:t>
      </w:r>
      <w:r>
        <w:t>SD</w:t>
      </w:r>
      <w:r w:rsidRPr="00D11C54">
        <w:rPr>
          <w:lang w:val="el-GR"/>
        </w:rPr>
        <w:t xml:space="preserve"> = 1,05) στην ομάδα </w:t>
      </w:r>
      <w:r>
        <w:t>NO</w:t>
      </w:r>
      <w:r w:rsidRPr="00D11C54">
        <w:rPr>
          <w:lang w:val="el-GR"/>
        </w:rPr>
        <w:t>-</w:t>
      </w:r>
      <w:r>
        <w:t>SLD</w:t>
      </w:r>
      <w:r w:rsidRPr="00D11C54">
        <w:rPr>
          <w:lang w:val="el-GR"/>
        </w:rPr>
        <w:t xml:space="preserve"> και 15,1 έτη (</w:t>
      </w:r>
      <w:r>
        <w:t>SD</w:t>
      </w:r>
      <w:r w:rsidRPr="00D11C54">
        <w:rPr>
          <w:lang w:val="el-GR"/>
        </w:rPr>
        <w:t xml:space="preserve"> = 2,3) στην ομάδα </w:t>
      </w:r>
      <w:r>
        <w:t>SLD</w:t>
      </w:r>
      <w:r w:rsidRPr="00D11C54">
        <w:rPr>
          <w:lang w:val="el-GR"/>
        </w:rPr>
        <w:t>. Η διαφορά αυτή είναι στατιστικά σημαντική (</w:t>
      </w:r>
      <w:r>
        <w:rPr>
          <w:rFonts w:ascii="Palatino Linotype"/>
          <w:i/>
        </w:rPr>
        <w:t>p</w:t>
      </w:r>
      <w:r w:rsidRPr="00D11C54">
        <w:rPr>
          <w:rFonts w:ascii="Palatino Linotype"/>
          <w:i/>
          <w:lang w:val="el-GR"/>
        </w:rPr>
        <w:t xml:space="preserve"> </w:t>
      </w:r>
      <w:r w:rsidRPr="00D11C54">
        <w:rPr>
          <w:lang w:val="el-GR"/>
        </w:rPr>
        <w:t>&lt; 0,001).</w:t>
      </w:r>
    </w:p>
    <w:p w14:paraId="2A7C1280" w14:textId="77777777" w:rsidR="00F5166D" w:rsidRPr="00D11C54" w:rsidRDefault="00623797">
      <w:pPr>
        <w:pStyle w:val="a3"/>
        <w:spacing w:before="3" w:line="249" w:lineRule="auto"/>
        <w:ind w:left="2717" w:right="132" w:firstLine="435"/>
        <w:jc w:val="both"/>
        <w:rPr>
          <w:lang w:val="el-GR"/>
        </w:rPr>
      </w:pPr>
      <w:r w:rsidRPr="00D11C54">
        <w:rPr>
          <w:lang w:val="el-GR"/>
        </w:rPr>
        <w:t xml:space="preserve">Εκατόν είκοσι επτά φοίτησαν στο γυμνάσιο, 312 στο λύκειο και 125 σε επαγγελματικό σχολείο. Οι περισσότεροι μαθητές και στις δύο ομάδες (94,1% στην ομάδα </w:t>
      </w:r>
      <w:r>
        <w:t>NO</w:t>
      </w:r>
      <w:r w:rsidRPr="00D11C54">
        <w:rPr>
          <w:lang w:val="el-GR"/>
        </w:rPr>
        <w:t>-</w:t>
      </w:r>
      <w:r>
        <w:t>SLD</w:t>
      </w:r>
      <w:r w:rsidRPr="00D11C54">
        <w:rPr>
          <w:lang w:val="el-GR"/>
        </w:rPr>
        <w:t xml:space="preserve"> και 80,6% στην ομάδα </w:t>
      </w:r>
      <w:r>
        <w:t>SLD</w:t>
      </w:r>
      <w:r w:rsidRPr="00D11C54">
        <w:rPr>
          <w:lang w:val="el-GR"/>
        </w:rPr>
        <w:t>) παρουσιάζουν μια κανονική σχολική σταδιοδρομία. Ωστόσο, η διαφορά στις αναλογίες είναι σημαντική (</w:t>
      </w:r>
      <w:r>
        <w:rPr>
          <w:rFonts w:ascii="Palatino Linotype"/>
          <w:i/>
        </w:rPr>
        <w:t>p</w:t>
      </w:r>
      <w:r w:rsidRPr="00D11C54">
        <w:rPr>
          <w:rFonts w:ascii="Palatino Linotype"/>
          <w:i/>
          <w:lang w:val="el-GR"/>
        </w:rPr>
        <w:t xml:space="preserve"> </w:t>
      </w:r>
      <w:r w:rsidRPr="00D11C54">
        <w:rPr>
          <w:lang w:val="el-GR"/>
        </w:rPr>
        <w:t>&lt; 0005).</w:t>
      </w:r>
    </w:p>
    <w:p w14:paraId="74DE8DEA" w14:textId="77777777" w:rsidR="00F5166D" w:rsidRPr="00D11C54" w:rsidRDefault="00F5166D">
      <w:pPr>
        <w:pStyle w:val="a3"/>
        <w:spacing w:before="9"/>
        <w:rPr>
          <w:sz w:val="21"/>
          <w:lang w:val="el-GR"/>
        </w:rPr>
      </w:pPr>
    </w:p>
    <w:p w14:paraId="18F74CE9" w14:textId="77777777" w:rsidR="00F5166D" w:rsidRPr="00D11C54" w:rsidRDefault="00623797">
      <w:pPr>
        <w:ind w:left="2721"/>
        <w:jc w:val="both"/>
        <w:rPr>
          <w:sz w:val="18"/>
          <w:lang w:val="el-GR"/>
        </w:rPr>
      </w:pPr>
      <w:bookmarkStart w:id="14" w:name="_bookmark1"/>
      <w:bookmarkEnd w:id="14"/>
      <w:r w:rsidRPr="00D11C54">
        <w:rPr>
          <w:b/>
          <w:sz w:val="18"/>
          <w:lang w:val="el-GR"/>
        </w:rPr>
        <w:t xml:space="preserve">Πίνακας 1. </w:t>
      </w:r>
      <w:r w:rsidRPr="00D11C54">
        <w:rPr>
          <w:sz w:val="18"/>
          <w:lang w:val="el-GR"/>
        </w:rPr>
        <w:t>Κοινωνικοδημογραφικά χαρακτηριστικά του δείγματος.</w:t>
      </w:r>
    </w:p>
    <w:p w14:paraId="624E46B5" w14:textId="77777777" w:rsidR="00F5166D" w:rsidRPr="00D11C54" w:rsidRDefault="00F5166D">
      <w:pPr>
        <w:pStyle w:val="a3"/>
        <w:rPr>
          <w:sz w:val="14"/>
          <w:lang w:val="el-GR"/>
        </w:rPr>
      </w:pPr>
    </w:p>
    <w:tbl>
      <w:tblPr>
        <w:tblStyle w:val="TableNormal"/>
        <w:tblW w:w="0" w:type="auto"/>
        <w:tblInd w:w="2735" w:type="dxa"/>
        <w:tblLayout w:type="fixed"/>
        <w:tblLook w:val="01E0" w:firstRow="1" w:lastRow="1" w:firstColumn="1" w:lastColumn="1" w:noHBand="0" w:noVBand="0"/>
      </w:tblPr>
      <w:tblGrid>
        <w:gridCol w:w="2004"/>
        <w:gridCol w:w="2312"/>
        <w:gridCol w:w="1189"/>
        <w:gridCol w:w="1248"/>
        <w:gridCol w:w="1107"/>
      </w:tblGrid>
      <w:tr w:rsidR="00F5166D" w14:paraId="23EAD9E1" w14:textId="77777777">
        <w:trPr>
          <w:trHeight w:val="524"/>
        </w:trPr>
        <w:tc>
          <w:tcPr>
            <w:tcW w:w="4316" w:type="dxa"/>
            <w:gridSpan w:val="2"/>
            <w:tcBorders>
              <w:top w:val="single" w:sz="8" w:space="0" w:color="000000"/>
              <w:bottom w:val="single" w:sz="4" w:space="0" w:color="000000"/>
            </w:tcBorders>
          </w:tcPr>
          <w:p w14:paraId="6FFB7334" w14:textId="77777777" w:rsidR="00F5166D" w:rsidRPr="00D11C54" w:rsidRDefault="00F5166D">
            <w:pPr>
              <w:pStyle w:val="TableParagraph"/>
              <w:jc w:val="left"/>
              <w:rPr>
                <w:rFonts w:ascii="Times New Roman"/>
                <w:sz w:val="18"/>
                <w:lang w:val="el-GR"/>
              </w:rPr>
            </w:pPr>
          </w:p>
        </w:tc>
        <w:tc>
          <w:tcPr>
            <w:tcW w:w="1189" w:type="dxa"/>
            <w:tcBorders>
              <w:top w:val="single" w:sz="8" w:space="0" w:color="000000"/>
              <w:bottom w:val="single" w:sz="4" w:space="0" w:color="000000"/>
            </w:tcBorders>
          </w:tcPr>
          <w:p w14:paraId="1C7F8FD9" w14:textId="77777777" w:rsidR="00F5166D" w:rsidRDefault="00623797">
            <w:pPr>
              <w:pStyle w:val="TableParagraph"/>
              <w:spacing w:before="36" w:line="249" w:lineRule="auto"/>
              <w:ind w:left="177" w:right="267" w:firstLine="14"/>
              <w:jc w:val="left"/>
              <w:rPr>
                <w:b/>
                <w:sz w:val="18"/>
              </w:rPr>
            </w:pPr>
            <w:r>
              <w:rPr>
                <w:b/>
                <w:w w:val="105"/>
                <w:sz w:val="18"/>
              </w:rPr>
              <w:t xml:space="preserve">ΧΩΡΊΣ SLD </w:t>
            </w:r>
            <w:r>
              <w:rPr>
                <w:b/>
                <w:w w:val="95"/>
                <w:sz w:val="18"/>
              </w:rPr>
              <w:t>(N = 389)</w:t>
            </w:r>
          </w:p>
        </w:tc>
        <w:tc>
          <w:tcPr>
            <w:tcW w:w="1248" w:type="dxa"/>
            <w:tcBorders>
              <w:top w:val="single" w:sz="8" w:space="0" w:color="000000"/>
              <w:bottom w:val="single" w:sz="4" w:space="0" w:color="000000"/>
            </w:tcBorders>
          </w:tcPr>
          <w:p w14:paraId="64BE3858" w14:textId="77777777" w:rsidR="00F5166D" w:rsidRDefault="00623797">
            <w:pPr>
              <w:pStyle w:val="TableParagraph"/>
              <w:spacing w:before="36" w:line="249" w:lineRule="auto"/>
              <w:ind w:left="272" w:right="237" w:firstLine="186"/>
              <w:jc w:val="left"/>
              <w:rPr>
                <w:b/>
                <w:sz w:val="18"/>
              </w:rPr>
            </w:pPr>
            <w:r>
              <w:rPr>
                <w:b/>
                <w:sz w:val="18"/>
              </w:rPr>
              <w:t xml:space="preserve">SLD </w:t>
            </w:r>
            <w:r>
              <w:rPr>
                <w:b/>
                <w:w w:val="95"/>
                <w:sz w:val="18"/>
              </w:rPr>
              <w:t>(Ν = 175)</w:t>
            </w:r>
          </w:p>
        </w:tc>
        <w:tc>
          <w:tcPr>
            <w:tcW w:w="1107" w:type="dxa"/>
            <w:tcBorders>
              <w:top w:val="single" w:sz="8" w:space="0" w:color="000000"/>
              <w:bottom w:val="single" w:sz="4" w:space="0" w:color="000000"/>
            </w:tcBorders>
          </w:tcPr>
          <w:p w14:paraId="708470DE" w14:textId="77777777" w:rsidR="00F5166D" w:rsidRDefault="00623797">
            <w:pPr>
              <w:pStyle w:val="TableParagraph"/>
              <w:spacing w:before="36" w:line="249" w:lineRule="auto"/>
              <w:ind w:left="235" w:right="133" w:firstLine="179"/>
              <w:jc w:val="left"/>
              <w:rPr>
                <w:b/>
                <w:sz w:val="18"/>
              </w:rPr>
            </w:pPr>
            <w:r>
              <w:rPr>
                <w:b/>
                <w:sz w:val="18"/>
              </w:rPr>
              <w:t xml:space="preserve">TOT </w:t>
            </w:r>
            <w:r>
              <w:rPr>
                <w:b/>
                <w:w w:val="95"/>
                <w:sz w:val="18"/>
              </w:rPr>
              <w:t>(Ν = 564)</w:t>
            </w:r>
          </w:p>
        </w:tc>
      </w:tr>
      <w:tr w:rsidR="00F5166D" w14:paraId="35301CD6" w14:textId="77777777">
        <w:trPr>
          <w:trHeight w:val="257"/>
        </w:trPr>
        <w:tc>
          <w:tcPr>
            <w:tcW w:w="2004" w:type="dxa"/>
            <w:tcBorders>
              <w:top w:val="single" w:sz="4" w:space="0" w:color="000000"/>
            </w:tcBorders>
          </w:tcPr>
          <w:p w14:paraId="03B54F81" w14:textId="77777777" w:rsidR="00F5166D" w:rsidRDefault="00F5166D">
            <w:pPr>
              <w:pStyle w:val="TableParagraph"/>
              <w:jc w:val="left"/>
              <w:rPr>
                <w:rFonts w:ascii="Times New Roman"/>
                <w:sz w:val="18"/>
              </w:rPr>
            </w:pPr>
          </w:p>
        </w:tc>
        <w:tc>
          <w:tcPr>
            <w:tcW w:w="2312" w:type="dxa"/>
            <w:tcBorders>
              <w:top w:val="single" w:sz="4" w:space="0" w:color="000000"/>
            </w:tcBorders>
          </w:tcPr>
          <w:p w14:paraId="5DB7B545" w14:textId="77777777" w:rsidR="00F5166D" w:rsidRDefault="00623797">
            <w:pPr>
              <w:pStyle w:val="TableParagraph"/>
              <w:spacing w:before="36" w:line="201" w:lineRule="exact"/>
              <w:ind w:left="136" w:right="155"/>
              <w:jc w:val="center"/>
              <w:rPr>
                <w:sz w:val="18"/>
              </w:rPr>
            </w:pPr>
            <w:r>
              <w:rPr>
                <w:w w:val="105"/>
                <w:sz w:val="18"/>
              </w:rPr>
              <w:t>Αρσενικός</w:t>
            </w:r>
          </w:p>
        </w:tc>
        <w:tc>
          <w:tcPr>
            <w:tcW w:w="1189" w:type="dxa"/>
            <w:tcBorders>
              <w:top w:val="single" w:sz="4" w:space="0" w:color="000000"/>
            </w:tcBorders>
          </w:tcPr>
          <w:p w14:paraId="6BB1F4C0" w14:textId="77777777" w:rsidR="00F5166D" w:rsidRDefault="00623797">
            <w:pPr>
              <w:pStyle w:val="TableParagraph"/>
              <w:spacing w:before="36" w:line="201" w:lineRule="exact"/>
              <w:ind w:left="316"/>
              <w:jc w:val="left"/>
              <w:rPr>
                <w:sz w:val="18"/>
              </w:rPr>
            </w:pPr>
            <w:r>
              <w:rPr>
                <w:sz w:val="18"/>
              </w:rPr>
              <w:t>38.3%</w:t>
            </w:r>
          </w:p>
        </w:tc>
        <w:tc>
          <w:tcPr>
            <w:tcW w:w="1248" w:type="dxa"/>
            <w:tcBorders>
              <w:top w:val="single" w:sz="4" w:space="0" w:color="000000"/>
            </w:tcBorders>
          </w:tcPr>
          <w:p w14:paraId="25075E0A" w14:textId="77777777" w:rsidR="00F5166D" w:rsidRDefault="00623797">
            <w:pPr>
              <w:pStyle w:val="TableParagraph"/>
              <w:spacing w:before="36" w:line="201" w:lineRule="exact"/>
              <w:ind w:right="370"/>
              <w:rPr>
                <w:sz w:val="18"/>
              </w:rPr>
            </w:pPr>
            <w:r>
              <w:rPr>
                <w:sz w:val="18"/>
              </w:rPr>
              <w:t>49.7%</w:t>
            </w:r>
          </w:p>
        </w:tc>
        <w:tc>
          <w:tcPr>
            <w:tcW w:w="1107" w:type="dxa"/>
            <w:tcBorders>
              <w:top w:val="single" w:sz="4" w:space="0" w:color="000000"/>
            </w:tcBorders>
          </w:tcPr>
          <w:p w14:paraId="26AF7BE1" w14:textId="77777777" w:rsidR="00F5166D" w:rsidRDefault="00623797">
            <w:pPr>
              <w:pStyle w:val="TableParagraph"/>
              <w:spacing w:before="36" w:line="201" w:lineRule="exact"/>
              <w:ind w:right="265"/>
              <w:rPr>
                <w:sz w:val="18"/>
              </w:rPr>
            </w:pPr>
            <w:r>
              <w:rPr>
                <w:sz w:val="18"/>
              </w:rPr>
              <w:t>41.8%</w:t>
            </w:r>
          </w:p>
        </w:tc>
      </w:tr>
      <w:tr w:rsidR="00F5166D" w14:paraId="393B8D06" w14:textId="77777777">
        <w:trPr>
          <w:trHeight w:val="266"/>
        </w:trPr>
        <w:tc>
          <w:tcPr>
            <w:tcW w:w="2004" w:type="dxa"/>
            <w:tcBorders>
              <w:bottom w:val="single" w:sz="4" w:space="0" w:color="000000"/>
            </w:tcBorders>
          </w:tcPr>
          <w:p w14:paraId="11CF1D21" w14:textId="77777777" w:rsidR="00F5166D" w:rsidRDefault="00623797">
            <w:pPr>
              <w:pStyle w:val="TableParagraph"/>
              <w:spacing w:line="115" w:lineRule="exact"/>
              <w:ind w:left="107" w:right="103"/>
              <w:jc w:val="center"/>
              <w:rPr>
                <w:sz w:val="18"/>
              </w:rPr>
            </w:pPr>
            <w:r>
              <w:rPr>
                <w:w w:val="105"/>
                <w:sz w:val="18"/>
              </w:rPr>
              <w:t>Φύλο</w:t>
            </w:r>
          </w:p>
        </w:tc>
        <w:tc>
          <w:tcPr>
            <w:tcW w:w="2312" w:type="dxa"/>
            <w:tcBorders>
              <w:bottom w:val="single" w:sz="4" w:space="0" w:color="000000"/>
            </w:tcBorders>
          </w:tcPr>
          <w:p w14:paraId="519D373B" w14:textId="77777777" w:rsidR="00F5166D" w:rsidRDefault="00623797">
            <w:pPr>
              <w:pStyle w:val="TableParagraph"/>
              <w:spacing w:line="209" w:lineRule="exact"/>
              <w:ind w:left="136" w:right="155"/>
              <w:jc w:val="center"/>
              <w:rPr>
                <w:sz w:val="18"/>
              </w:rPr>
            </w:pPr>
            <w:r>
              <w:rPr>
                <w:sz w:val="18"/>
              </w:rPr>
              <w:t>Θηλυκός</w:t>
            </w:r>
          </w:p>
        </w:tc>
        <w:tc>
          <w:tcPr>
            <w:tcW w:w="1189" w:type="dxa"/>
            <w:tcBorders>
              <w:bottom w:val="single" w:sz="4" w:space="0" w:color="000000"/>
            </w:tcBorders>
          </w:tcPr>
          <w:p w14:paraId="175CADC6" w14:textId="77777777" w:rsidR="00F5166D" w:rsidRDefault="00623797">
            <w:pPr>
              <w:pStyle w:val="TableParagraph"/>
              <w:spacing w:line="209" w:lineRule="exact"/>
              <w:ind w:left="316"/>
              <w:jc w:val="left"/>
              <w:rPr>
                <w:sz w:val="18"/>
              </w:rPr>
            </w:pPr>
            <w:r>
              <w:rPr>
                <w:sz w:val="18"/>
              </w:rPr>
              <w:t>61.7%</w:t>
            </w:r>
          </w:p>
        </w:tc>
        <w:tc>
          <w:tcPr>
            <w:tcW w:w="1248" w:type="dxa"/>
            <w:tcBorders>
              <w:bottom w:val="single" w:sz="4" w:space="0" w:color="000000"/>
            </w:tcBorders>
          </w:tcPr>
          <w:p w14:paraId="59834884" w14:textId="77777777" w:rsidR="00F5166D" w:rsidRDefault="00623797">
            <w:pPr>
              <w:pStyle w:val="TableParagraph"/>
              <w:spacing w:line="209" w:lineRule="exact"/>
              <w:ind w:right="370"/>
              <w:rPr>
                <w:sz w:val="18"/>
              </w:rPr>
            </w:pPr>
            <w:r>
              <w:rPr>
                <w:sz w:val="18"/>
              </w:rPr>
              <w:t>50.3%</w:t>
            </w:r>
          </w:p>
        </w:tc>
        <w:tc>
          <w:tcPr>
            <w:tcW w:w="1107" w:type="dxa"/>
            <w:tcBorders>
              <w:bottom w:val="single" w:sz="4" w:space="0" w:color="000000"/>
            </w:tcBorders>
          </w:tcPr>
          <w:p w14:paraId="1C81C3A7" w14:textId="77777777" w:rsidR="00F5166D" w:rsidRDefault="00623797">
            <w:pPr>
              <w:pStyle w:val="TableParagraph"/>
              <w:spacing w:line="209" w:lineRule="exact"/>
              <w:ind w:right="265"/>
              <w:rPr>
                <w:sz w:val="18"/>
              </w:rPr>
            </w:pPr>
            <w:r>
              <w:rPr>
                <w:sz w:val="18"/>
              </w:rPr>
              <w:t>58.2%</w:t>
            </w:r>
          </w:p>
        </w:tc>
      </w:tr>
      <w:tr w:rsidR="00F5166D" w14:paraId="1B55FC5E" w14:textId="77777777">
        <w:trPr>
          <w:trHeight w:val="257"/>
        </w:trPr>
        <w:tc>
          <w:tcPr>
            <w:tcW w:w="2004" w:type="dxa"/>
            <w:tcBorders>
              <w:top w:val="single" w:sz="4" w:space="0" w:color="000000"/>
            </w:tcBorders>
          </w:tcPr>
          <w:p w14:paraId="3C9DF13A" w14:textId="77777777" w:rsidR="00F5166D" w:rsidRDefault="00623797">
            <w:pPr>
              <w:pStyle w:val="TableParagraph"/>
              <w:spacing w:before="140" w:line="97" w:lineRule="exact"/>
              <w:ind w:left="107" w:right="107"/>
              <w:jc w:val="center"/>
              <w:rPr>
                <w:sz w:val="18"/>
              </w:rPr>
            </w:pPr>
            <w:r>
              <w:rPr>
                <w:w w:val="105"/>
                <w:sz w:val="18"/>
              </w:rPr>
              <w:t>Ιθαγένεια των γονέων</w:t>
            </w:r>
          </w:p>
        </w:tc>
        <w:tc>
          <w:tcPr>
            <w:tcW w:w="2312" w:type="dxa"/>
            <w:tcBorders>
              <w:top w:val="single" w:sz="4" w:space="0" w:color="000000"/>
            </w:tcBorders>
          </w:tcPr>
          <w:p w14:paraId="123C13F1" w14:textId="77777777" w:rsidR="00F5166D" w:rsidRDefault="00623797">
            <w:pPr>
              <w:pStyle w:val="TableParagraph"/>
              <w:spacing w:before="36" w:line="201" w:lineRule="exact"/>
              <w:ind w:left="136" w:right="155"/>
              <w:jc w:val="center"/>
              <w:rPr>
                <w:sz w:val="18"/>
              </w:rPr>
            </w:pPr>
            <w:r>
              <w:rPr>
                <w:w w:val="105"/>
                <w:sz w:val="18"/>
              </w:rPr>
              <w:t>Ιταλικά</w:t>
            </w:r>
          </w:p>
        </w:tc>
        <w:tc>
          <w:tcPr>
            <w:tcW w:w="1189" w:type="dxa"/>
            <w:tcBorders>
              <w:top w:val="single" w:sz="4" w:space="0" w:color="000000"/>
            </w:tcBorders>
          </w:tcPr>
          <w:p w14:paraId="25D5BE2C" w14:textId="77777777" w:rsidR="00F5166D" w:rsidRDefault="00623797">
            <w:pPr>
              <w:pStyle w:val="TableParagraph"/>
              <w:spacing w:before="36" w:line="201" w:lineRule="exact"/>
              <w:ind w:left="316"/>
              <w:jc w:val="left"/>
              <w:rPr>
                <w:sz w:val="18"/>
              </w:rPr>
            </w:pPr>
            <w:r>
              <w:rPr>
                <w:sz w:val="18"/>
              </w:rPr>
              <w:t>94.9%</w:t>
            </w:r>
          </w:p>
        </w:tc>
        <w:tc>
          <w:tcPr>
            <w:tcW w:w="1248" w:type="dxa"/>
            <w:tcBorders>
              <w:top w:val="single" w:sz="4" w:space="0" w:color="000000"/>
            </w:tcBorders>
          </w:tcPr>
          <w:p w14:paraId="13ED6B9D" w14:textId="77777777" w:rsidR="00F5166D" w:rsidRDefault="00623797">
            <w:pPr>
              <w:pStyle w:val="TableParagraph"/>
              <w:spacing w:before="36" w:line="201" w:lineRule="exact"/>
              <w:ind w:right="370"/>
              <w:rPr>
                <w:sz w:val="18"/>
              </w:rPr>
            </w:pPr>
            <w:r>
              <w:rPr>
                <w:sz w:val="18"/>
              </w:rPr>
              <w:t>91.4%</w:t>
            </w:r>
          </w:p>
        </w:tc>
        <w:tc>
          <w:tcPr>
            <w:tcW w:w="1107" w:type="dxa"/>
            <w:tcBorders>
              <w:top w:val="single" w:sz="4" w:space="0" w:color="000000"/>
            </w:tcBorders>
          </w:tcPr>
          <w:p w14:paraId="16462068" w14:textId="77777777" w:rsidR="00F5166D" w:rsidRDefault="00623797">
            <w:pPr>
              <w:pStyle w:val="TableParagraph"/>
              <w:spacing w:before="36" w:line="201" w:lineRule="exact"/>
              <w:ind w:right="265"/>
              <w:rPr>
                <w:sz w:val="18"/>
              </w:rPr>
            </w:pPr>
            <w:r>
              <w:rPr>
                <w:sz w:val="18"/>
              </w:rPr>
              <w:t>93.8%</w:t>
            </w:r>
          </w:p>
        </w:tc>
      </w:tr>
      <w:tr w:rsidR="00F5166D" w14:paraId="05B1D715" w14:textId="77777777">
        <w:trPr>
          <w:trHeight w:val="266"/>
        </w:trPr>
        <w:tc>
          <w:tcPr>
            <w:tcW w:w="2004" w:type="dxa"/>
            <w:tcBorders>
              <w:bottom w:val="single" w:sz="4" w:space="0" w:color="000000"/>
            </w:tcBorders>
          </w:tcPr>
          <w:p w14:paraId="4CBF59AB" w14:textId="77777777" w:rsidR="00F5166D" w:rsidRDefault="00F5166D">
            <w:pPr>
              <w:pStyle w:val="TableParagraph"/>
              <w:jc w:val="left"/>
              <w:rPr>
                <w:rFonts w:ascii="Times New Roman"/>
                <w:sz w:val="18"/>
              </w:rPr>
            </w:pPr>
          </w:p>
        </w:tc>
        <w:tc>
          <w:tcPr>
            <w:tcW w:w="2312" w:type="dxa"/>
            <w:tcBorders>
              <w:bottom w:val="single" w:sz="4" w:space="0" w:color="000000"/>
            </w:tcBorders>
          </w:tcPr>
          <w:p w14:paraId="63DFE5D0" w14:textId="77777777" w:rsidR="00F5166D" w:rsidRDefault="00623797">
            <w:pPr>
              <w:pStyle w:val="TableParagraph"/>
              <w:spacing w:line="209" w:lineRule="exact"/>
              <w:ind w:left="136" w:right="155"/>
              <w:jc w:val="center"/>
              <w:rPr>
                <w:sz w:val="18"/>
              </w:rPr>
            </w:pPr>
            <w:r>
              <w:rPr>
                <w:w w:val="105"/>
                <w:sz w:val="18"/>
              </w:rPr>
              <w:t>Δεν είναι ιταλικά</w:t>
            </w:r>
          </w:p>
        </w:tc>
        <w:tc>
          <w:tcPr>
            <w:tcW w:w="1189" w:type="dxa"/>
            <w:tcBorders>
              <w:bottom w:val="single" w:sz="4" w:space="0" w:color="000000"/>
            </w:tcBorders>
          </w:tcPr>
          <w:p w14:paraId="1F803D99" w14:textId="77777777" w:rsidR="00F5166D" w:rsidRDefault="00623797">
            <w:pPr>
              <w:pStyle w:val="TableParagraph"/>
              <w:spacing w:line="209" w:lineRule="exact"/>
              <w:ind w:left="361"/>
              <w:jc w:val="left"/>
              <w:rPr>
                <w:sz w:val="18"/>
              </w:rPr>
            </w:pPr>
            <w:r>
              <w:rPr>
                <w:sz w:val="18"/>
              </w:rPr>
              <w:t>5.1%</w:t>
            </w:r>
          </w:p>
        </w:tc>
        <w:tc>
          <w:tcPr>
            <w:tcW w:w="1248" w:type="dxa"/>
            <w:tcBorders>
              <w:bottom w:val="single" w:sz="4" w:space="0" w:color="000000"/>
            </w:tcBorders>
          </w:tcPr>
          <w:p w14:paraId="15C7D2AD" w14:textId="77777777" w:rsidR="00F5166D" w:rsidRDefault="00623797">
            <w:pPr>
              <w:pStyle w:val="TableParagraph"/>
              <w:spacing w:line="209" w:lineRule="exact"/>
              <w:ind w:right="415"/>
              <w:rPr>
                <w:sz w:val="18"/>
              </w:rPr>
            </w:pPr>
            <w:r>
              <w:rPr>
                <w:sz w:val="18"/>
              </w:rPr>
              <w:t>8.5%</w:t>
            </w:r>
          </w:p>
        </w:tc>
        <w:tc>
          <w:tcPr>
            <w:tcW w:w="1107" w:type="dxa"/>
            <w:tcBorders>
              <w:bottom w:val="single" w:sz="4" w:space="0" w:color="000000"/>
            </w:tcBorders>
          </w:tcPr>
          <w:p w14:paraId="2DEA0440" w14:textId="77777777" w:rsidR="00F5166D" w:rsidRDefault="00623797">
            <w:pPr>
              <w:pStyle w:val="TableParagraph"/>
              <w:spacing w:line="209" w:lineRule="exact"/>
              <w:ind w:right="310"/>
              <w:rPr>
                <w:sz w:val="18"/>
              </w:rPr>
            </w:pPr>
            <w:r>
              <w:rPr>
                <w:sz w:val="18"/>
              </w:rPr>
              <w:t>6.2%</w:t>
            </w:r>
          </w:p>
        </w:tc>
      </w:tr>
      <w:tr w:rsidR="00F5166D" w14:paraId="2369045F" w14:textId="77777777">
        <w:trPr>
          <w:trHeight w:val="257"/>
        </w:trPr>
        <w:tc>
          <w:tcPr>
            <w:tcW w:w="2004" w:type="dxa"/>
            <w:tcBorders>
              <w:top w:val="single" w:sz="4" w:space="0" w:color="000000"/>
            </w:tcBorders>
          </w:tcPr>
          <w:p w14:paraId="1294ED37" w14:textId="77777777" w:rsidR="00F5166D" w:rsidRDefault="00F5166D">
            <w:pPr>
              <w:pStyle w:val="TableParagraph"/>
              <w:jc w:val="left"/>
              <w:rPr>
                <w:rFonts w:ascii="Times New Roman"/>
                <w:sz w:val="18"/>
              </w:rPr>
            </w:pPr>
          </w:p>
        </w:tc>
        <w:tc>
          <w:tcPr>
            <w:tcW w:w="2312" w:type="dxa"/>
            <w:tcBorders>
              <w:top w:val="single" w:sz="4" w:space="0" w:color="000000"/>
            </w:tcBorders>
          </w:tcPr>
          <w:p w14:paraId="765D0D60" w14:textId="77777777" w:rsidR="00F5166D" w:rsidRDefault="00623797">
            <w:pPr>
              <w:pStyle w:val="TableParagraph"/>
              <w:spacing w:before="36" w:line="201" w:lineRule="exact"/>
              <w:ind w:left="136" w:right="155"/>
              <w:jc w:val="center"/>
              <w:rPr>
                <w:sz w:val="18"/>
              </w:rPr>
            </w:pPr>
            <w:r>
              <w:rPr>
                <w:w w:val="105"/>
                <w:sz w:val="18"/>
              </w:rPr>
              <w:t>Γυμνάσιο</w:t>
            </w:r>
          </w:p>
        </w:tc>
        <w:tc>
          <w:tcPr>
            <w:tcW w:w="1189" w:type="dxa"/>
            <w:tcBorders>
              <w:top w:val="single" w:sz="4" w:space="0" w:color="000000"/>
            </w:tcBorders>
          </w:tcPr>
          <w:p w14:paraId="6AD71721" w14:textId="77777777" w:rsidR="00F5166D" w:rsidRDefault="00623797">
            <w:pPr>
              <w:pStyle w:val="TableParagraph"/>
              <w:spacing w:before="36" w:line="201" w:lineRule="exact"/>
              <w:ind w:left="316"/>
              <w:jc w:val="left"/>
              <w:rPr>
                <w:sz w:val="18"/>
              </w:rPr>
            </w:pPr>
            <w:r>
              <w:rPr>
                <w:sz w:val="18"/>
              </w:rPr>
              <w:t>17.0%</w:t>
            </w:r>
          </w:p>
        </w:tc>
        <w:tc>
          <w:tcPr>
            <w:tcW w:w="1248" w:type="dxa"/>
            <w:tcBorders>
              <w:top w:val="single" w:sz="4" w:space="0" w:color="000000"/>
            </w:tcBorders>
          </w:tcPr>
          <w:p w14:paraId="589F458C" w14:textId="77777777" w:rsidR="00F5166D" w:rsidRDefault="00623797">
            <w:pPr>
              <w:pStyle w:val="TableParagraph"/>
              <w:spacing w:before="36" w:line="201" w:lineRule="exact"/>
              <w:ind w:right="370"/>
              <w:rPr>
                <w:sz w:val="18"/>
              </w:rPr>
            </w:pPr>
            <w:r>
              <w:rPr>
                <w:sz w:val="18"/>
              </w:rPr>
              <w:t>34.9%</w:t>
            </w:r>
          </w:p>
        </w:tc>
        <w:tc>
          <w:tcPr>
            <w:tcW w:w="1107" w:type="dxa"/>
            <w:tcBorders>
              <w:top w:val="single" w:sz="4" w:space="0" w:color="000000"/>
            </w:tcBorders>
          </w:tcPr>
          <w:p w14:paraId="713BEFBC" w14:textId="77777777" w:rsidR="00F5166D" w:rsidRDefault="00623797">
            <w:pPr>
              <w:pStyle w:val="TableParagraph"/>
              <w:spacing w:before="36" w:line="201" w:lineRule="exact"/>
              <w:ind w:right="265"/>
              <w:rPr>
                <w:sz w:val="18"/>
              </w:rPr>
            </w:pPr>
            <w:r>
              <w:rPr>
                <w:sz w:val="18"/>
              </w:rPr>
              <w:t>22.5%</w:t>
            </w:r>
          </w:p>
        </w:tc>
      </w:tr>
      <w:tr w:rsidR="00F5166D" w14:paraId="6E70C5C8" w14:textId="77777777">
        <w:trPr>
          <w:trHeight w:val="219"/>
        </w:trPr>
        <w:tc>
          <w:tcPr>
            <w:tcW w:w="2004" w:type="dxa"/>
          </w:tcPr>
          <w:p w14:paraId="0ED97AC5" w14:textId="77777777" w:rsidR="00F5166D" w:rsidRDefault="00623797">
            <w:pPr>
              <w:pStyle w:val="TableParagraph"/>
              <w:spacing w:before="16" w:line="183" w:lineRule="exact"/>
              <w:ind w:left="102" w:right="107"/>
              <w:jc w:val="center"/>
              <w:rPr>
                <w:sz w:val="18"/>
              </w:rPr>
            </w:pPr>
            <w:r>
              <w:rPr>
                <w:w w:val="105"/>
                <w:sz w:val="18"/>
              </w:rPr>
              <w:t>Φοίτησε στο σχολείο</w:t>
            </w:r>
          </w:p>
        </w:tc>
        <w:tc>
          <w:tcPr>
            <w:tcW w:w="2312" w:type="dxa"/>
          </w:tcPr>
          <w:p w14:paraId="48478B44" w14:textId="77777777" w:rsidR="00F5166D" w:rsidRDefault="00623797">
            <w:pPr>
              <w:pStyle w:val="TableParagraph"/>
              <w:spacing w:line="199" w:lineRule="exact"/>
              <w:ind w:left="136" w:right="155"/>
              <w:jc w:val="center"/>
              <w:rPr>
                <w:sz w:val="18"/>
              </w:rPr>
            </w:pPr>
            <w:r>
              <w:rPr>
                <w:w w:val="105"/>
                <w:sz w:val="18"/>
              </w:rPr>
              <w:t>Ανώτερη δευτεροβάθμια εκπαίδευση</w:t>
            </w:r>
          </w:p>
        </w:tc>
        <w:tc>
          <w:tcPr>
            <w:tcW w:w="1189" w:type="dxa"/>
          </w:tcPr>
          <w:p w14:paraId="7BB69647" w14:textId="77777777" w:rsidR="00F5166D" w:rsidRDefault="00623797">
            <w:pPr>
              <w:pStyle w:val="TableParagraph"/>
              <w:spacing w:line="199" w:lineRule="exact"/>
              <w:ind w:left="316"/>
              <w:jc w:val="left"/>
              <w:rPr>
                <w:sz w:val="18"/>
              </w:rPr>
            </w:pPr>
            <w:r>
              <w:rPr>
                <w:sz w:val="18"/>
              </w:rPr>
              <w:t>63.0%</w:t>
            </w:r>
          </w:p>
        </w:tc>
        <w:tc>
          <w:tcPr>
            <w:tcW w:w="1248" w:type="dxa"/>
          </w:tcPr>
          <w:p w14:paraId="26B0152F" w14:textId="77777777" w:rsidR="00F5166D" w:rsidRDefault="00623797">
            <w:pPr>
              <w:pStyle w:val="TableParagraph"/>
              <w:spacing w:line="199" w:lineRule="exact"/>
              <w:ind w:right="370"/>
              <w:rPr>
                <w:sz w:val="18"/>
              </w:rPr>
            </w:pPr>
            <w:r>
              <w:rPr>
                <w:sz w:val="18"/>
              </w:rPr>
              <w:t>38.3%</w:t>
            </w:r>
          </w:p>
        </w:tc>
        <w:tc>
          <w:tcPr>
            <w:tcW w:w="1107" w:type="dxa"/>
          </w:tcPr>
          <w:p w14:paraId="4C297B6C" w14:textId="77777777" w:rsidR="00F5166D" w:rsidRDefault="00623797">
            <w:pPr>
              <w:pStyle w:val="TableParagraph"/>
              <w:spacing w:line="199" w:lineRule="exact"/>
              <w:ind w:right="265"/>
              <w:rPr>
                <w:sz w:val="18"/>
              </w:rPr>
            </w:pPr>
            <w:r>
              <w:rPr>
                <w:sz w:val="18"/>
              </w:rPr>
              <w:t>55.3%</w:t>
            </w:r>
          </w:p>
        </w:tc>
      </w:tr>
      <w:tr w:rsidR="00F5166D" w14:paraId="5605F5F0" w14:textId="77777777">
        <w:trPr>
          <w:trHeight w:val="266"/>
        </w:trPr>
        <w:tc>
          <w:tcPr>
            <w:tcW w:w="2004" w:type="dxa"/>
            <w:tcBorders>
              <w:bottom w:val="single" w:sz="4" w:space="0" w:color="000000"/>
            </w:tcBorders>
          </w:tcPr>
          <w:p w14:paraId="77608AE8" w14:textId="77777777" w:rsidR="00F5166D" w:rsidRDefault="00F5166D">
            <w:pPr>
              <w:pStyle w:val="TableParagraph"/>
              <w:jc w:val="left"/>
              <w:rPr>
                <w:rFonts w:ascii="Times New Roman"/>
                <w:sz w:val="18"/>
              </w:rPr>
            </w:pPr>
          </w:p>
        </w:tc>
        <w:tc>
          <w:tcPr>
            <w:tcW w:w="2312" w:type="dxa"/>
            <w:tcBorders>
              <w:bottom w:val="single" w:sz="4" w:space="0" w:color="000000"/>
            </w:tcBorders>
          </w:tcPr>
          <w:p w14:paraId="4DBDCCDC" w14:textId="77777777" w:rsidR="00F5166D" w:rsidRDefault="00623797">
            <w:pPr>
              <w:pStyle w:val="TableParagraph"/>
              <w:spacing w:line="209" w:lineRule="exact"/>
              <w:ind w:left="136" w:right="155"/>
              <w:jc w:val="center"/>
              <w:rPr>
                <w:sz w:val="18"/>
              </w:rPr>
            </w:pPr>
            <w:r>
              <w:rPr>
                <w:sz w:val="18"/>
              </w:rPr>
              <w:t>Επαγγελματική σχολή</w:t>
            </w:r>
          </w:p>
        </w:tc>
        <w:tc>
          <w:tcPr>
            <w:tcW w:w="1189" w:type="dxa"/>
            <w:tcBorders>
              <w:bottom w:val="single" w:sz="4" w:space="0" w:color="000000"/>
            </w:tcBorders>
          </w:tcPr>
          <w:p w14:paraId="0568E107" w14:textId="77777777" w:rsidR="00F5166D" w:rsidRDefault="00623797">
            <w:pPr>
              <w:pStyle w:val="TableParagraph"/>
              <w:spacing w:line="209" w:lineRule="exact"/>
              <w:ind w:left="316"/>
              <w:jc w:val="left"/>
              <w:rPr>
                <w:sz w:val="18"/>
              </w:rPr>
            </w:pPr>
            <w:r>
              <w:rPr>
                <w:sz w:val="18"/>
              </w:rPr>
              <w:t>20.1%</w:t>
            </w:r>
          </w:p>
        </w:tc>
        <w:tc>
          <w:tcPr>
            <w:tcW w:w="1248" w:type="dxa"/>
            <w:tcBorders>
              <w:bottom w:val="single" w:sz="4" w:space="0" w:color="000000"/>
            </w:tcBorders>
          </w:tcPr>
          <w:p w14:paraId="238D7980" w14:textId="77777777" w:rsidR="00F5166D" w:rsidRDefault="00623797">
            <w:pPr>
              <w:pStyle w:val="TableParagraph"/>
              <w:spacing w:line="209" w:lineRule="exact"/>
              <w:ind w:right="370"/>
              <w:rPr>
                <w:sz w:val="18"/>
              </w:rPr>
            </w:pPr>
            <w:r>
              <w:rPr>
                <w:sz w:val="18"/>
              </w:rPr>
              <w:t>26.9%</w:t>
            </w:r>
          </w:p>
        </w:tc>
        <w:tc>
          <w:tcPr>
            <w:tcW w:w="1107" w:type="dxa"/>
            <w:tcBorders>
              <w:bottom w:val="single" w:sz="4" w:space="0" w:color="000000"/>
            </w:tcBorders>
          </w:tcPr>
          <w:p w14:paraId="057AE092" w14:textId="77777777" w:rsidR="00F5166D" w:rsidRDefault="00623797">
            <w:pPr>
              <w:pStyle w:val="TableParagraph"/>
              <w:spacing w:line="209" w:lineRule="exact"/>
              <w:ind w:right="265"/>
              <w:rPr>
                <w:sz w:val="18"/>
              </w:rPr>
            </w:pPr>
            <w:r>
              <w:rPr>
                <w:sz w:val="18"/>
              </w:rPr>
              <w:t>22.2%</w:t>
            </w:r>
          </w:p>
        </w:tc>
      </w:tr>
      <w:tr w:rsidR="00F5166D" w14:paraId="3277D61D" w14:textId="77777777">
        <w:trPr>
          <w:trHeight w:val="305"/>
        </w:trPr>
        <w:tc>
          <w:tcPr>
            <w:tcW w:w="2004" w:type="dxa"/>
            <w:tcBorders>
              <w:top w:val="single" w:sz="4" w:space="0" w:color="000000"/>
            </w:tcBorders>
          </w:tcPr>
          <w:p w14:paraId="3DB8DB2B" w14:textId="77777777" w:rsidR="00F5166D" w:rsidRDefault="00623797">
            <w:pPr>
              <w:pStyle w:val="TableParagraph"/>
              <w:spacing w:before="164" w:line="121" w:lineRule="exact"/>
              <w:ind w:left="107" w:right="104"/>
              <w:jc w:val="center"/>
              <w:rPr>
                <w:sz w:val="18"/>
              </w:rPr>
            </w:pPr>
            <w:r>
              <w:rPr>
                <w:sz w:val="18"/>
              </w:rPr>
              <w:t>Σχολική σταδιοδρομία</w:t>
            </w:r>
          </w:p>
        </w:tc>
        <w:tc>
          <w:tcPr>
            <w:tcW w:w="2312" w:type="dxa"/>
            <w:tcBorders>
              <w:top w:val="single" w:sz="4" w:space="0" w:color="000000"/>
              <w:bottom w:val="single" w:sz="4" w:space="0" w:color="000000"/>
            </w:tcBorders>
          </w:tcPr>
          <w:p w14:paraId="77BCD86F" w14:textId="77777777" w:rsidR="00F5166D" w:rsidRDefault="00623797">
            <w:pPr>
              <w:pStyle w:val="TableParagraph"/>
              <w:spacing w:before="36"/>
              <w:ind w:left="136" w:right="155"/>
              <w:jc w:val="center"/>
              <w:rPr>
                <w:sz w:val="18"/>
              </w:rPr>
            </w:pPr>
            <w:r>
              <w:rPr>
                <w:w w:val="105"/>
                <w:sz w:val="18"/>
              </w:rPr>
              <w:t>Τακτικός</w:t>
            </w:r>
          </w:p>
        </w:tc>
        <w:tc>
          <w:tcPr>
            <w:tcW w:w="1189" w:type="dxa"/>
            <w:tcBorders>
              <w:top w:val="single" w:sz="4" w:space="0" w:color="000000"/>
              <w:bottom w:val="single" w:sz="4" w:space="0" w:color="000000"/>
            </w:tcBorders>
          </w:tcPr>
          <w:p w14:paraId="22C81608" w14:textId="77777777" w:rsidR="00F5166D" w:rsidRDefault="00623797">
            <w:pPr>
              <w:pStyle w:val="TableParagraph"/>
              <w:spacing w:before="36"/>
              <w:ind w:left="316"/>
              <w:jc w:val="left"/>
              <w:rPr>
                <w:sz w:val="18"/>
              </w:rPr>
            </w:pPr>
            <w:r>
              <w:rPr>
                <w:sz w:val="18"/>
              </w:rPr>
              <w:t>94.1%</w:t>
            </w:r>
          </w:p>
        </w:tc>
        <w:tc>
          <w:tcPr>
            <w:tcW w:w="1248" w:type="dxa"/>
            <w:tcBorders>
              <w:top w:val="single" w:sz="4" w:space="0" w:color="000000"/>
              <w:bottom w:val="single" w:sz="4" w:space="0" w:color="000000"/>
            </w:tcBorders>
          </w:tcPr>
          <w:p w14:paraId="7102068C" w14:textId="77777777" w:rsidR="00F5166D" w:rsidRDefault="00623797">
            <w:pPr>
              <w:pStyle w:val="TableParagraph"/>
              <w:spacing w:before="36"/>
              <w:ind w:right="370"/>
              <w:rPr>
                <w:sz w:val="18"/>
              </w:rPr>
            </w:pPr>
            <w:r>
              <w:rPr>
                <w:sz w:val="18"/>
              </w:rPr>
              <w:t>80.6%</w:t>
            </w:r>
          </w:p>
        </w:tc>
        <w:tc>
          <w:tcPr>
            <w:tcW w:w="1107" w:type="dxa"/>
            <w:tcBorders>
              <w:top w:val="single" w:sz="4" w:space="0" w:color="000000"/>
              <w:bottom w:val="single" w:sz="4" w:space="0" w:color="000000"/>
            </w:tcBorders>
          </w:tcPr>
          <w:p w14:paraId="75C21A4C" w14:textId="77777777" w:rsidR="00F5166D" w:rsidRDefault="00623797">
            <w:pPr>
              <w:pStyle w:val="TableParagraph"/>
              <w:spacing w:before="36"/>
              <w:ind w:right="265"/>
              <w:rPr>
                <w:sz w:val="18"/>
              </w:rPr>
            </w:pPr>
            <w:r>
              <w:rPr>
                <w:sz w:val="18"/>
              </w:rPr>
              <w:t>89.9%</w:t>
            </w:r>
          </w:p>
        </w:tc>
      </w:tr>
      <w:tr w:rsidR="00F5166D" w14:paraId="01092D16" w14:textId="77777777">
        <w:trPr>
          <w:trHeight w:val="305"/>
        </w:trPr>
        <w:tc>
          <w:tcPr>
            <w:tcW w:w="2004" w:type="dxa"/>
            <w:tcBorders>
              <w:bottom w:val="single" w:sz="8" w:space="0" w:color="000000"/>
            </w:tcBorders>
          </w:tcPr>
          <w:p w14:paraId="3A5DDDCB" w14:textId="77777777" w:rsidR="00F5166D" w:rsidRDefault="00F5166D">
            <w:pPr>
              <w:pStyle w:val="TableParagraph"/>
              <w:jc w:val="left"/>
              <w:rPr>
                <w:rFonts w:ascii="Times New Roman"/>
                <w:sz w:val="18"/>
              </w:rPr>
            </w:pPr>
          </w:p>
        </w:tc>
        <w:tc>
          <w:tcPr>
            <w:tcW w:w="2312" w:type="dxa"/>
            <w:tcBorders>
              <w:top w:val="single" w:sz="4" w:space="0" w:color="000000"/>
              <w:bottom w:val="single" w:sz="8" w:space="0" w:color="000000"/>
            </w:tcBorders>
          </w:tcPr>
          <w:p w14:paraId="3E12849F" w14:textId="77777777" w:rsidR="00F5166D" w:rsidRDefault="00623797">
            <w:pPr>
              <w:pStyle w:val="TableParagraph"/>
              <w:spacing w:before="36"/>
              <w:ind w:left="136" w:right="155"/>
              <w:jc w:val="center"/>
              <w:rPr>
                <w:sz w:val="18"/>
              </w:rPr>
            </w:pPr>
            <w:r>
              <w:rPr>
                <w:w w:val="105"/>
                <w:sz w:val="18"/>
              </w:rPr>
              <w:t>Δεν είναι κανονικό</w:t>
            </w:r>
          </w:p>
        </w:tc>
        <w:tc>
          <w:tcPr>
            <w:tcW w:w="1189" w:type="dxa"/>
            <w:tcBorders>
              <w:top w:val="single" w:sz="4" w:space="0" w:color="000000"/>
              <w:bottom w:val="single" w:sz="8" w:space="0" w:color="000000"/>
            </w:tcBorders>
          </w:tcPr>
          <w:p w14:paraId="6776935D" w14:textId="77777777" w:rsidR="00F5166D" w:rsidRDefault="00623797">
            <w:pPr>
              <w:pStyle w:val="TableParagraph"/>
              <w:spacing w:before="36"/>
              <w:ind w:left="361"/>
              <w:jc w:val="left"/>
              <w:rPr>
                <w:sz w:val="18"/>
              </w:rPr>
            </w:pPr>
            <w:r>
              <w:rPr>
                <w:sz w:val="18"/>
              </w:rPr>
              <w:t>5.9%</w:t>
            </w:r>
          </w:p>
        </w:tc>
        <w:tc>
          <w:tcPr>
            <w:tcW w:w="1248" w:type="dxa"/>
            <w:tcBorders>
              <w:top w:val="single" w:sz="4" w:space="0" w:color="000000"/>
              <w:bottom w:val="single" w:sz="8" w:space="0" w:color="000000"/>
            </w:tcBorders>
          </w:tcPr>
          <w:p w14:paraId="4B003B30" w14:textId="77777777" w:rsidR="00F5166D" w:rsidRDefault="00623797">
            <w:pPr>
              <w:pStyle w:val="TableParagraph"/>
              <w:spacing w:before="36"/>
              <w:ind w:right="370"/>
              <w:rPr>
                <w:sz w:val="18"/>
              </w:rPr>
            </w:pPr>
            <w:r>
              <w:rPr>
                <w:sz w:val="18"/>
              </w:rPr>
              <w:t>19.4%</w:t>
            </w:r>
          </w:p>
        </w:tc>
        <w:tc>
          <w:tcPr>
            <w:tcW w:w="1107" w:type="dxa"/>
            <w:tcBorders>
              <w:top w:val="single" w:sz="4" w:space="0" w:color="000000"/>
              <w:bottom w:val="single" w:sz="8" w:space="0" w:color="000000"/>
            </w:tcBorders>
          </w:tcPr>
          <w:p w14:paraId="62EB898F" w14:textId="77777777" w:rsidR="00F5166D" w:rsidRDefault="00623797">
            <w:pPr>
              <w:pStyle w:val="TableParagraph"/>
              <w:spacing w:before="36"/>
              <w:ind w:right="265"/>
              <w:rPr>
                <w:sz w:val="18"/>
              </w:rPr>
            </w:pPr>
            <w:r>
              <w:rPr>
                <w:sz w:val="18"/>
              </w:rPr>
              <w:t>10.1%</w:t>
            </w:r>
          </w:p>
        </w:tc>
      </w:tr>
    </w:tbl>
    <w:p w14:paraId="58135B50" w14:textId="77777777" w:rsidR="00F5166D" w:rsidRPr="00D11C54" w:rsidRDefault="00623797">
      <w:pPr>
        <w:pStyle w:val="a3"/>
        <w:spacing w:before="172" w:line="256" w:lineRule="auto"/>
        <w:ind w:left="2721" w:right="121" w:firstLine="431"/>
        <w:jc w:val="both"/>
        <w:rPr>
          <w:lang w:val="el-GR"/>
        </w:rPr>
      </w:pPr>
      <w:r w:rsidRPr="00D11C54">
        <w:rPr>
          <w:lang w:val="el-GR"/>
        </w:rPr>
        <w:t xml:space="preserve">Όσον αφορά τις διαγνώσεις </w:t>
      </w:r>
      <w:r>
        <w:t>SLD</w:t>
      </w:r>
      <w:r w:rsidRPr="00D11C54">
        <w:rPr>
          <w:lang w:val="el-GR"/>
        </w:rPr>
        <w:t xml:space="preserve">, το 44,6% των μαθητών με </w:t>
      </w:r>
      <w:r>
        <w:t>SLD</w:t>
      </w:r>
      <w:r w:rsidRPr="00D11C54">
        <w:rPr>
          <w:lang w:val="el-GR"/>
        </w:rPr>
        <w:t xml:space="preserve"> επηρεάστηκαν από δυσλεξία, το 32,6</w:t>
      </w:r>
      <w:r w:rsidRPr="00D11C54">
        <w:rPr>
          <w:w w:val="105"/>
          <w:lang w:val="el-GR"/>
        </w:rPr>
        <w:t>% παρουσίασαν δυσαριθμησία, το 34,3% δυσορτογραφία και το 26,9% δυσγραφία.</w:t>
      </w:r>
    </w:p>
    <w:p w14:paraId="79A30059" w14:textId="77777777" w:rsidR="00F5166D" w:rsidRPr="00D11C54" w:rsidRDefault="00623797">
      <w:pPr>
        <w:pStyle w:val="a3"/>
        <w:spacing w:before="1" w:line="256" w:lineRule="auto"/>
        <w:ind w:left="2727" w:right="137" w:firstLine="425"/>
        <w:jc w:val="both"/>
        <w:rPr>
          <w:lang w:val="el-GR"/>
        </w:rPr>
      </w:pPr>
      <w:r w:rsidRPr="00D11C54">
        <w:rPr>
          <w:w w:val="105"/>
          <w:lang w:val="el-GR"/>
        </w:rPr>
        <w:t xml:space="preserve">Σχετικά με τα αντισταθμιστικά εργαλεία, αυτά τα εργαλεία έχουν χρησιμοποιηθεί από το 78,9% των μαθητών στην ομάδα </w:t>
      </w:r>
      <w:r>
        <w:rPr>
          <w:w w:val="105"/>
        </w:rPr>
        <w:t>SLD</w:t>
      </w:r>
      <w:r w:rsidRPr="00D11C54">
        <w:rPr>
          <w:w w:val="105"/>
          <w:lang w:val="el-GR"/>
        </w:rPr>
        <w:t xml:space="preserve">. Εντός της ομάδας </w:t>
      </w:r>
      <w:r>
        <w:rPr>
          <w:w w:val="105"/>
        </w:rPr>
        <w:t>SLD</w:t>
      </w:r>
      <w:r w:rsidRPr="00D11C54">
        <w:rPr>
          <w:w w:val="105"/>
          <w:lang w:val="el-GR"/>
        </w:rPr>
        <w:t>, το 21,1% των μαθητών ισχυρίστηκε ότι χρησιμοποιεί τρεις διαφορετικούς τύπους αντισταθμιστικών εργαλείων.</w:t>
      </w:r>
    </w:p>
    <w:p w14:paraId="7D515E66" w14:textId="77777777" w:rsidR="00F5166D" w:rsidRPr="00D11C54" w:rsidRDefault="00623797">
      <w:pPr>
        <w:pStyle w:val="a3"/>
        <w:spacing w:line="256" w:lineRule="auto"/>
        <w:ind w:left="2727" w:right="113" w:firstLine="425"/>
        <w:jc w:val="both"/>
        <w:rPr>
          <w:lang w:val="el-GR"/>
        </w:rPr>
      </w:pPr>
      <w:r w:rsidRPr="00D11C54">
        <w:rPr>
          <w:lang w:val="el-GR"/>
        </w:rPr>
        <w:t>Οι εννοιολογικοί χάρτες είναι το πιο χρησιμοποιούμενο εργαλείο (57,7%), ακολουθούμενο από τη σύνθεση ομιλίας (26,9</w:t>
      </w:r>
      <w:r w:rsidRPr="00D11C54">
        <w:rPr>
          <w:w w:val="105"/>
          <w:lang w:val="el-GR"/>
        </w:rPr>
        <w:t>%), τις περιλήψεις (25,7%), τους ορθογραφικούς ελέγχους (22,9) και τις φόρμες (1,1%). Επιπλέον, το 48% των υποκειμένων παρακολούθησε εξειδικευμένο πρόγραμμα μετά το σχολείο.</w:t>
      </w:r>
    </w:p>
    <w:p w14:paraId="359F69DD" w14:textId="77777777" w:rsidR="00F5166D" w:rsidRPr="00D11C54" w:rsidRDefault="00623797">
      <w:pPr>
        <w:pStyle w:val="a3"/>
        <w:spacing w:before="1"/>
        <w:ind w:left="3153"/>
        <w:jc w:val="both"/>
        <w:rPr>
          <w:lang w:val="el-GR"/>
        </w:rPr>
      </w:pPr>
      <w:r w:rsidRPr="00D11C54">
        <w:rPr>
          <w:lang w:val="el-GR"/>
        </w:rPr>
        <w:t xml:space="preserve">Ο πίνακας </w:t>
      </w:r>
      <w:hyperlink w:anchor="_bookmark2" w:history="1">
        <w:r w:rsidRPr="00D11C54">
          <w:rPr>
            <w:color w:val="0774B7"/>
            <w:lang w:val="el-GR"/>
          </w:rPr>
          <w:t xml:space="preserve">2 </w:t>
        </w:r>
      </w:hyperlink>
      <w:r w:rsidRPr="00D11C54">
        <w:rPr>
          <w:lang w:val="el-GR"/>
        </w:rPr>
        <w:t xml:space="preserve">δείχνει τα χαρακτηριστικά των μαθητών με </w:t>
      </w:r>
      <w:r>
        <w:t>SLD</w:t>
      </w:r>
      <w:r w:rsidRPr="00D11C54">
        <w:rPr>
          <w:lang w:val="el-GR"/>
        </w:rPr>
        <w:t xml:space="preserve"> στο δείγμα μας.</w:t>
      </w:r>
    </w:p>
    <w:p w14:paraId="3FAD1209" w14:textId="77777777" w:rsidR="00F5166D" w:rsidRPr="00D11C54" w:rsidRDefault="00F5166D">
      <w:pPr>
        <w:jc w:val="both"/>
        <w:rPr>
          <w:lang w:val="el-GR"/>
        </w:rPr>
        <w:sectPr w:rsidR="00F5166D" w:rsidRPr="00D11C54">
          <w:pgSz w:w="11910" w:h="16840"/>
          <w:pgMar w:top="1400" w:right="580" w:bottom="280" w:left="600" w:header="1109" w:footer="0" w:gutter="0"/>
          <w:cols w:space="720"/>
        </w:sectPr>
      </w:pPr>
    </w:p>
    <w:p w14:paraId="6D99B96F" w14:textId="77777777" w:rsidR="00F5166D" w:rsidRPr="00D11C54" w:rsidRDefault="00F5166D">
      <w:pPr>
        <w:pStyle w:val="a3"/>
        <w:rPr>
          <w:lang w:val="el-GR"/>
        </w:rPr>
      </w:pPr>
    </w:p>
    <w:p w14:paraId="3D6BD32E" w14:textId="77777777" w:rsidR="00F5166D" w:rsidRPr="00D11C54" w:rsidRDefault="00F5166D">
      <w:pPr>
        <w:pStyle w:val="a3"/>
        <w:spacing w:before="6"/>
        <w:rPr>
          <w:sz w:val="21"/>
          <w:lang w:val="el-GR"/>
        </w:rPr>
      </w:pPr>
    </w:p>
    <w:p w14:paraId="6C916F4A" w14:textId="77777777" w:rsidR="00F5166D" w:rsidRPr="00D11C54" w:rsidRDefault="00623797">
      <w:pPr>
        <w:ind w:left="2721"/>
        <w:rPr>
          <w:sz w:val="18"/>
          <w:lang w:val="el-GR"/>
        </w:rPr>
      </w:pPr>
      <w:r w:rsidRPr="00D11C54">
        <w:rPr>
          <w:b/>
          <w:sz w:val="18"/>
          <w:lang w:val="el-GR"/>
        </w:rPr>
        <w:t xml:space="preserve">Πίνακας 2. </w:t>
      </w:r>
      <w:r w:rsidRPr="00D11C54">
        <w:rPr>
          <w:sz w:val="18"/>
          <w:lang w:val="el-GR"/>
        </w:rPr>
        <w:t xml:space="preserve">Χαρακτηριστικά της ομάδας των μαθητών με </w:t>
      </w:r>
      <w:r>
        <w:rPr>
          <w:sz w:val="18"/>
        </w:rPr>
        <w:t>SLD</w:t>
      </w:r>
      <w:r w:rsidRPr="00D11C54">
        <w:rPr>
          <w:sz w:val="18"/>
          <w:lang w:val="el-GR"/>
        </w:rPr>
        <w:t>.</w:t>
      </w:r>
    </w:p>
    <w:p w14:paraId="22675316" w14:textId="77777777" w:rsidR="00F5166D" w:rsidRPr="00D11C54" w:rsidRDefault="00F5166D">
      <w:pPr>
        <w:pStyle w:val="a3"/>
        <w:rPr>
          <w:sz w:val="14"/>
          <w:lang w:val="el-GR"/>
        </w:rPr>
      </w:pPr>
    </w:p>
    <w:tbl>
      <w:tblPr>
        <w:tblStyle w:val="TableNormal"/>
        <w:tblW w:w="0" w:type="auto"/>
        <w:tblInd w:w="2735" w:type="dxa"/>
        <w:tblLayout w:type="fixed"/>
        <w:tblLook w:val="01E0" w:firstRow="1" w:lastRow="1" w:firstColumn="1" w:lastColumn="1" w:noHBand="0" w:noVBand="0"/>
      </w:tblPr>
      <w:tblGrid>
        <w:gridCol w:w="6199"/>
        <w:gridCol w:w="1658"/>
      </w:tblGrid>
      <w:tr w:rsidR="00F5166D" w14:paraId="50B14FEE" w14:textId="77777777">
        <w:trPr>
          <w:trHeight w:val="254"/>
        </w:trPr>
        <w:tc>
          <w:tcPr>
            <w:tcW w:w="6199" w:type="dxa"/>
            <w:vMerge w:val="restart"/>
            <w:tcBorders>
              <w:top w:val="single" w:sz="8" w:space="0" w:color="000000"/>
              <w:bottom w:val="single" w:sz="4" w:space="0" w:color="000000"/>
            </w:tcBorders>
          </w:tcPr>
          <w:p w14:paraId="70EB275D" w14:textId="77777777" w:rsidR="00F5166D" w:rsidRPr="00D11C54" w:rsidRDefault="00F5166D">
            <w:pPr>
              <w:pStyle w:val="TableParagraph"/>
              <w:jc w:val="left"/>
              <w:rPr>
                <w:rFonts w:ascii="Times New Roman"/>
                <w:sz w:val="16"/>
                <w:lang w:val="el-GR"/>
              </w:rPr>
            </w:pPr>
          </w:p>
        </w:tc>
        <w:tc>
          <w:tcPr>
            <w:tcW w:w="1658" w:type="dxa"/>
            <w:tcBorders>
              <w:top w:val="single" w:sz="8" w:space="0" w:color="000000"/>
            </w:tcBorders>
          </w:tcPr>
          <w:p w14:paraId="085219B8" w14:textId="77777777" w:rsidR="00F5166D" w:rsidRDefault="00623797">
            <w:pPr>
              <w:pStyle w:val="TableParagraph"/>
              <w:spacing w:before="36" w:line="199" w:lineRule="exact"/>
              <w:ind w:left="668" w:right="188"/>
              <w:jc w:val="center"/>
              <w:rPr>
                <w:b/>
                <w:sz w:val="18"/>
              </w:rPr>
            </w:pPr>
            <w:r>
              <w:rPr>
                <w:b/>
                <w:w w:val="115"/>
                <w:sz w:val="18"/>
              </w:rPr>
              <w:t>SLD</w:t>
            </w:r>
          </w:p>
        </w:tc>
      </w:tr>
      <w:tr w:rsidR="00F5166D" w14:paraId="20427562" w14:textId="77777777">
        <w:trPr>
          <w:trHeight w:val="259"/>
        </w:trPr>
        <w:tc>
          <w:tcPr>
            <w:tcW w:w="6199" w:type="dxa"/>
            <w:vMerge/>
            <w:tcBorders>
              <w:top w:val="nil"/>
              <w:bottom w:val="single" w:sz="4" w:space="0" w:color="000000"/>
            </w:tcBorders>
          </w:tcPr>
          <w:p w14:paraId="3D543E1E" w14:textId="77777777" w:rsidR="00F5166D" w:rsidRDefault="00F5166D">
            <w:pPr>
              <w:rPr>
                <w:sz w:val="2"/>
                <w:szCs w:val="2"/>
              </w:rPr>
            </w:pPr>
          </w:p>
        </w:tc>
        <w:tc>
          <w:tcPr>
            <w:tcW w:w="1658" w:type="dxa"/>
            <w:tcBorders>
              <w:bottom w:val="single" w:sz="4" w:space="0" w:color="000000"/>
            </w:tcBorders>
          </w:tcPr>
          <w:p w14:paraId="63DFEAE0" w14:textId="77777777" w:rsidR="00F5166D" w:rsidRDefault="00623797">
            <w:pPr>
              <w:pStyle w:val="TableParagraph"/>
              <w:spacing w:line="201" w:lineRule="exact"/>
              <w:ind w:left="668" w:right="194"/>
              <w:jc w:val="center"/>
              <w:rPr>
                <w:b/>
                <w:sz w:val="18"/>
              </w:rPr>
            </w:pPr>
            <w:r>
              <w:rPr>
                <w:b/>
                <w:sz w:val="18"/>
              </w:rPr>
              <w:t>(Ν = 175)</w:t>
            </w:r>
          </w:p>
        </w:tc>
      </w:tr>
      <w:tr w:rsidR="00F5166D" w14:paraId="5C9F7BC6" w14:textId="77777777">
        <w:trPr>
          <w:trHeight w:val="257"/>
        </w:trPr>
        <w:tc>
          <w:tcPr>
            <w:tcW w:w="6199" w:type="dxa"/>
            <w:tcBorders>
              <w:top w:val="single" w:sz="4" w:space="0" w:color="000000"/>
            </w:tcBorders>
          </w:tcPr>
          <w:p w14:paraId="309DFA8F" w14:textId="77777777" w:rsidR="00F5166D" w:rsidRDefault="00623797">
            <w:pPr>
              <w:pStyle w:val="TableParagraph"/>
              <w:tabs>
                <w:tab w:val="left" w:pos="3559"/>
              </w:tabs>
              <w:spacing w:before="40" w:line="197" w:lineRule="exact"/>
              <w:ind w:right="704"/>
              <w:rPr>
                <w:sz w:val="18"/>
              </w:rPr>
            </w:pPr>
            <w:r>
              <w:rPr>
                <w:w w:val="110"/>
                <w:sz w:val="18"/>
              </w:rPr>
              <w:t>Δυσλεξία</w:t>
            </w:r>
            <w:r>
              <w:rPr>
                <w:w w:val="110"/>
                <w:sz w:val="18"/>
              </w:rPr>
              <w:tab/>
            </w:r>
            <w:r>
              <w:rPr>
                <w:w w:val="110"/>
                <w:position w:val="10"/>
                <w:sz w:val="18"/>
              </w:rPr>
              <w:t>Όχι</w:t>
            </w:r>
          </w:p>
        </w:tc>
        <w:tc>
          <w:tcPr>
            <w:tcW w:w="1658" w:type="dxa"/>
            <w:tcBorders>
              <w:top w:val="single" w:sz="4" w:space="0" w:color="000000"/>
            </w:tcBorders>
          </w:tcPr>
          <w:p w14:paraId="37A1FE24" w14:textId="77777777" w:rsidR="00F5166D" w:rsidRDefault="00623797">
            <w:pPr>
              <w:pStyle w:val="TableParagraph"/>
              <w:spacing w:before="36" w:line="201" w:lineRule="exact"/>
              <w:ind w:left="668" w:right="189"/>
              <w:jc w:val="center"/>
              <w:rPr>
                <w:sz w:val="18"/>
              </w:rPr>
            </w:pPr>
            <w:r>
              <w:rPr>
                <w:sz w:val="18"/>
              </w:rPr>
              <w:t>55.4%</w:t>
            </w:r>
          </w:p>
        </w:tc>
      </w:tr>
      <w:tr w:rsidR="00F5166D" w14:paraId="44753387" w14:textId="77777777">
        <w:trPr>
          <w:trHeight w:val="266"/>
        </w:trPr>
        <w:tc>
          <w:tcPr>
            <w:tcW w:w="6199" w:type="dxa"/>
            <w:tcBorders>
              <w:bottom w:val="single" w:sz="4" w:space="0" w:color="000000"/>
            </w:tcBorders>
          </w:tcPr>
          <w:p w14:paraId="6D5C4CD1"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08FBF1BA" w14:textId="77777777" w:rsidR="00F5166D" w:rsidRDefault="00623797">
            <w:pPr>
              <w:pStyle w:val="TableParagraph"/>
              <w:spacing w:line="209" w:lineRule="exact"/>
              <w:ind w:left="668" w:right="188"/>
              <w:jc w:val="center"/>
              <w:rPr>
                <w:sz w:val="18"/>
              </w:rPr>
            </w:pPr>
            <w:r>
              <w:rPr>
                <w:sz w:val="18"/>
              </w:rPr>
              <w:t>44.6%</w:t>
            </w:r>
          </w:p>
        </w:tc>
      </w:tr>
      <w:tr w:rsidR="00F5166D" w14:paraId="00E5B08F" w14:textId="77777777">
        <w:trPr>
          <w:trHeight w:val="257"/>
        </w:trPr>
        <w:tc>
          <w:tcPr>
            <w:tcW w:w="6199" w:type="dxa"/>
            <w:tcBorders>
              <w:top w:val="single" w:sz="4" w:space="0" w:color="000000"/>
            </w:tcBorders>
          </w:tcPr>
          <w:p w14:paraId="5F469C68" w14:textId="77777777" w:rsidR="00F5166D" w:rsidRDefault="00623797">
            <w:pPr>
              <w:pStyle w:val="TableParagraph"/>
              <w:tabs>
                <w:tab w:val="left" w:pos="3674"/>
              </w:tabs>
              <w:spacing w:before="40" w:line="197" w:lineRule="exact"/>
              <w:ind w:right="704"/>
              <w:rPr>
                <w:sz w:val="18"/>
              </w:rPr>
            </w:pPr>
            <w:r>
              <w:rPr>
                <w:w w:val="110"/>
                <w:sz w:val="18"/>
              </w:rPr>
              <w:t>Δυσαριθμησία</w:t>
            </w:r>
            <w:r>
              <w:rPr>
                <w:w w:val="110"/>
                <w:sz w:val="18"/>
              </w:rPr>
              <w:tab/>
            </w:r>
            <w:r>
              <w:rPr>
                <w:w w:val="110"/>
                <w:position w:val="10"/>
                <w:sz w:val="18"/>
              </w:rPr>
              <w:t>Όχι</w:t>
            </w:r>
          </w:p>
        </w:tc>
        <w:tc>
          <w:tcPr>
            <w:tcW w:w="1658" w:type="dxa"/>
            <w:tcBorders>
              <w:top w:val="single" w:sz="4" w:space="0" w:color="000000"/>
            </w:tcBorders>
          </w:tcPr>
          <w:p w14:paraId="32EB1DDF" w14:textId="77777777" w:rsidR="00F5166D" w:rsidRDefault="00623797">
            <w:pPr>
              <w:pStyle w:val="TableParagraph"/>
              <w:spacing w:before="36" w:line="201" w:lineRule="exact"/>
              <w:ind w:left="668" w:right="189"/>
              <w:jc w:val="center"/>
              <w:rPr>
                <w:sz w:val="18"/>
              </w:rPr>
            </w:pPr>
            <w:r>
              <w:rPr>
                <w:sz w:val="18"/>
              </w:rPr>
              <w:t>67.4%</w:t>
            </w:r>
          </w:p>
        </w:tc>
      </w:tr>
      <w:tr w:rsidR="00F5166D" w14:paraId="3C9C1D14" w14:textId="77777777">
        <w:trPr>
          <w:trHeight w:val="266"/>
        </w:trPr>
        <w:tc>
          <w:tcPr>
            <w:tcW w:w="6199" w:type="dxa"/>
            <w:tcBorders>
              <w:bottom w:val="single" w:sz="4" w:space="0" w:color="000000"/>
            </w:tcBorders>
          </w:tcPr>
          <w:p w14:paraId="06B30870"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1D5763CB" w14:textId="77777777" w:rsidR="00F5166D" w:rsidRDefault="00623797">
            <w:pPr>
              <w:pStyle w:val="TableParagraph"/>
              <w:spacing w:line="209" w:lineRule="exact"/>
              <w:ind w:left="668" w:right="188"/>
              <w:jc w:val="center"/>
              <w:rPr>
                <w:sz w:val="18"/>
              </w:rPr>
            </w:pPr>
            <w:r>
              <w:rPr>
                <w:sz w:val="18"/>
              </w:rPr>
              <w:t>32.6%</w:t>
            </w:r>
          </w:p>
        </w:tc>
      </w:tr>
      <w:tr w:rsidR="00F5166D" w14:paraId="61566D54" w14:textId="77777777">
        <w:trPr>
          <w:trHeight w:val="257"/>
        </w:trPr>
        <w:tc>
          <w:tcPr>
            <w:tcW w:w="6199" w:type="dxa"/>
            <w:tcBorders>
              <w:top w:val="single" w:sz="4" w:space="0" w:color="000000"/>
            </w:tcBorders>
          </w:tcPr>
          <w:p w14:paraId="4C145E8C" w14:textId="77777777" w:rsidR="00F5166D" w:rsidRDefault="00623797">
            <w:pPr>
              <w:pStyle w:val="TableParagraph"/>
              <w:tabs>
                <w:tab w:val="left" w:pos="3794"/>
              </w:tabs>
              <w:spacing w:before="40" w:line="197" w:lineRule="exact"/>
              <w:ind w:right="704"/>
              <w:rPr>
                <w:sz w:val="18"/>
              </w:rPr>
            </w:pPr>
            <w:r>
              <w:rPr>
                <w:w w:val="110"/>
                <w:sz w:val="18"/>
              </w:rPr>
              <w:t>Διασπορά</w:t>
            </w:r>
            <w:r>
              <w:rPr>
                <w:w w:val="110"/>
                <w:sz w:val="18"/>
              </w:rPr>
              <w:tab/>
            </w:r>
            <w:r>
              <w:rPr>
                <w:w w:val="110"/>
                <w:position w:val="10"/>
                <w:sz w:val="18"/>
              </w:rPr>
              <w:t>Όχι</w:t>
            </w:r>
          </w:p>
        </w:tc>
        <w:tc>
          <w:tcPr>
            <w:tcW w:w="1658" w:type="dxa"/>
            <w:tcBorders>
              <w:top w:val="single" w:sz="4" w:space="0" w:color="000000"/>
            </w:tcBorders>
          </w:tcPr>
          <w:p w14:paraId="447BED96" w14:textId="77777777" w:rsidR="00F5166D" w:rsidRDefault="00623797">
            <w:pPr>
              <w:pStyle w:val="TableParagraph"/>
              <w:spacing w:before="36" w:line="201" w:lineRule="exact"/>
              <w:ind w:left="668" w:right="189"/>
              <w:jc w:val="center"/>
              <w:rPr>
                <w:sz w:val="18"/>
              </w:rPr>
            </w:pPr>
            <w:r>
              <w:rPr>
                <w:sz w:val="18"/>
              </w:rPr>
              <w:t>65.7%</w:t>
            </w:r>
          </w:p>
        </w:tc>
      </w:tr>
      <w:tr w:rsidR="00F5166D" w14:paraId="5B56C642" w14:textId="77777777">
        <w:trPr>
          <w:trHeight w:val="266"/>
        </w:trPr>
        <w:tc>
          <w:tcPr>
            <w:tcW w:w="6199" w:type="dxa"/>
            <w:tcBorders>
              <w:bottom w:val="single" w:sz="4" w:space="0" w:color="000000"/>
            </w:tcBorders>
          </w:tcPr>
          <w:p w14:paraId="4BAD278D"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4CD3259D" w14:textId="77777777" w:rsidR="00F5166D" w:rsidRDefault="00623797">
            <w:pPr>
              <w:pStyle w:val="TableParagraph"/>
              <w:spacing w:line="209" w:lineRule="exact"/>
              <w:ind w:left="668" w:right="188"/>
              <w:jc w:val="center"/>
              <w:rPr>
                <w:sz w:val="18"/>
              </w:rPr>
            </w:pPr>
            <w:r>
              <w:rPr>
                <w:sz w:val="18"/>
              </w:rPr>
              <w:t>34.3%</w:t>
            </w:r>
          </w:p>
        </w:tc>
      </w:tr>
      <w:tr w:rsidR="00F5166D" w14:paraId="6F41C58B" w14:textId="77777777">
        <w:trPr>
          <w:trHeight w:val="257"/>
        </w:trPr>
        <w:tc>
          <w:tcPr>
            <w:tcW w:w="6199" w:type="dxa"/>
            <w:tcBorders>
              <w:top w:val="single" w:sz="4" w:space="0" w:color="000000"/>
            </w:tcBorders>
          </w:tcPr>
          <w:p w14:paraId="2B00C418" w14:textId="77777777" w:rsidR="00F5166D" w:rsidRDefault="00623797">
            <w:pPr>
              <w:pStyle w:val="TableParagraph"/>
              <w:tabs>
                <w:tab w:val="left" w:pos="3680"/>
              </w:tabs>
              <w:spacing w:before="40" w:line="197" w:lineRule="exact"/>
              <w:ind w:right="704"/>
              <w:rPr>
                <w:sz w:val="18"/>
              </w:rPr>
            </w:pPr>
            <w:r>
              <w:rPr>
                <w:w w:val="110"/>
                <w:sz w:val="18"/>
              </w:rPr>
              <w:t>Δυσγραφία</w:t>
            </w:r>
            <w:r>
              <w:rPr>
                <w:w w:val="110"/>
                <w:sz w:val="18"/>
              </w:rPr>
              <w:tab/>
            </w:r>
            <w:r>
              <w:rPr>
                <w:w w:val="110"/>
                <w:position w:val="10"/>
                <w:sz w:val="18"/>
              </w:rPr>
              <w:t>Όχι</w:t>
            </w:r>
          </w:p>
        </w:tc>
        <w:tc>
          <w:tcPr>
            <w:tcW w:w="1658" w:type="dxa"/>
            <w:tcBorders>
              <w:top w:val="single" w:sz="4" w:space="0" w:color="000000"/>
            </w:tcBorders>
          </w:tcPr>
          <w:p w14:paraId="576F98B2" w14:textId="77777777" w:rsidR="00F5166D" w:rsidRDefault="00623797">
            <w:pPr>
              <w:pStyle w:val="TableParagraph"/>
              <w:spacing w:before="36" w:line="201" w:lineRule="exact"/>
              <w:ind w:left="668" w:right="189"/>
              <w:jc w:val="center"/>
              <w:rPr>
                <w:sz w:val="18"/>
              </w:rPr>
            </w:pPr>
            <w:r>
              <w:rPr>
                <w:sz w:val="18"/>
              </w:rPr>
              <w:t>73.1%</w:t>
            </w:r>
          </w:p>
        </w:tc>
      </w:tr>
      <w:tr w:rsidR="00F5166D" w14:paraId="25A32F2F" w14:textId="77777777">
        <w:trPr>
          <w:trHeight w:val="266"/>
        </w:trPr>
        <w:tc>
          <w:tcPr>
            <w:tcW w:w="6199" w:type="dxa"/>
            <w:tcBorders>
              <w:bottom w:val="single" w:sz="4" w:space="0" w:color="000000"/>
            </w:tcBorders>
          </w:tcPr>
          <w:p w14:paraId="49446061"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5F323EE1" w14:textId="77777777" w:rsidR="00F5166D" w:rsidRDefault="00623797">
            <w:pPr>
              <w:pStyle w:val="TableParagraph"/>
              <w:spacing w:line="209" w:lineRule="exact"/>
              <w:ind w:left="668" w:right="188"/>
              <w:jc w:val="center"/>
              <w:rPr>
                <w:sz w:val="18"/>
              </w:rPr>
            </w:pPr>
            <w:r>
              <w:rPr>
                <w:sz w:val="18"/>
              </w:rPr>
              <w:t>26.9%</w:t>
            </w:r>
          </w:p>
        </w:tc>
      </w:tr>
      <w:tr w:rsidR="00F5166D" w14:paraId="6AAB015D" w14:textId="77777777">
        <w:trPr>
          <w:trHeight w:val="257"/>
        </w:trPr>
        <w:tc>
          <w:tcPr>
            <w:tcW w:w="6199" w:type="dxa"/>
            <w:tcBorders>
              <w:top w:val="single" w:sz="4" w:space="0" w:color="000000"/>
            </w:tcBorders>
          </w:tcPr>
          <w:p w14:paraId="0055D1B4" w14:textId="77777777" w:rsidR="00F5166D" w:rsidRDefault="00623797">
            <w:pPr>
              <w:pStyle w:val="TableParagraph"/>
              <w:spacing w:before="36" w:line="201" w:lineRule="exact"/>
              <w:ind w:right="783"/>
              <w:rPr>
                <w:sz w:val="18"/>
              </w:rPr>
            </w:pPr>
            <w:r>
              <w:rPr>
                <w:w w:val="89"/>
                <w:sz w:val="18"/>
              </w:rPr>
              <w:t>0</w:t>
            </w:r>
          </w:p>
        </w:tc>
        <w:tc>
          <w:tcPr>
            <w:tcW w:w="1658" w:type="dxa"/>
            <w:tcBorders>
              <w:top w:val="single" w:sz="4" w:space="0" w:color="000000"/>
            </w:tcBorders>
          </w:tcPr>
          <w:p w14:paraId="775A9FA2" w14:textId="77777777" w:rsidR="00F5166D" w:rsidRDefault="00623797">
            <w:pPr>
              <w:pStyle w:val="TableParagraph"/>
              <w:spacing w:before="36" w:line="201" w:lineRule="exact"/>
              <w:ind w:left="668" w:right="188"/>
              <w:jc w:val="center"/>
              <w:rPr>
                <w:sz w:val="18"/>
              </w:rPr>
            </w:pPr>
            <w:r>
              <w:rPr>
                <w:sz w:val="18"/>
              </w:rPr>
              <w:t>21.1%</w:t>
            </w:r>
          </w:p>
        </w:tc>
      </w:tr>
      <w:tr w:rsidR="00F5166D" w14:paraId="216ADB41" w14:textId="77777777">
        <w:trPr>
          <w:trHeight w:val="219"/>
        </w:trPr>
        <w:tc>
          <w:tcPr>
            <w:tcW w:w="6199" w:type="dxa"/>
          </w:tcPr>
          <w:p w14:paraId="3D602A39" w14:textId="77777777" w:rsidR="00F5166D" w:rsidRDefault="00623797">
            <w:pPr>
              <w:pStyle w:val="TableParagraph"/>
              <w:spacing w:line="199" w:lineRule="exact"/>
              <w:ind w:right="783"/>
              <w:rPr>
                <w:sz w:val="18"/>
              </w:rPr>
            </w:pPr>
            <w:r>
              <w:rPr>
                <w:w w:val="89"/>
                <w:sz w:val="18"/>
              </w:rPr>
              <w:t>1</w:t>
            </w:r>
          </w:p>
        </w:tc>
        <w:tc>
          <w:tcPr>
            <w:tcW w:w="1658" w:type="dxa"/>
          </w:tcPr>
          <w:p w14:paraId="2D409397" w14:textId="77777777" w:rsidR="00F5166D" w:rsidRDefault="00623797">
            <w:pPr>
              <w:pStyle w:val="TableParagraph"/>
              <w:spacing w:line="199" w:lineRule="exact"/>
              <w:ind w:left="668" w:right="188"/>
              <w:jc w:val="center"/>
              <w:rPr>
                <w:sz w:val="18"/>
              </w:rPr>
            </w:pPr>
            <w:r>
              <w:rPr>
                <w:sz w:val="18"/>
              </w:rPr>
              <w:t>20.6%</w:t>
            </w:r>
          </w:p>
        </w:tc>
      </w:tr>
      <w:tr w:rsidR="00F5166D" w14:paraId="3FA9C2A4" w14:textId="77777777">
        <w:trPr>
          <w:trHeight w:val="219"/>
        </w:trPr>
        <w:tc>
          <w:tcPr>
            <w:tcW w:w="6199" w:type="dxa"/>
          </w:tcPr>
          <w:p w14:paraId="1B6A0676" w14:textId="77777777" w:rsidR="00F5166D" w:rsidRDefault="00623797">
            <w:pPr>
              <w:pStyle w:val="TableParagraph"/>
              <w:spacing w:line="199" w:lineRule="exact"/>
              <w:ind w:right="783"/>
              <w:rPr>
                <w:sz w:val="18"/>
              </w:rPr>
            </w:pPr>
            <w:r>
              <w:rPr>
                <w:w w:val="89"/>
                <w:sz w:val="18"/>
              </w:rPr>
              <w:t>2</w:t>
            </w:r>
          </w:p>
        </w:tc>
        <w:tc>
          <w:tcPr>
            <w:tcW w:w="1658" w:type="dxa"/>
          </w:tcPr>
          <w:p w14:paraId="4D869909" w14:textId="77777777" w:rsidR="00F5166D" w:rsidRDefault="00623797">
            <w:pPr>
              <w:pStyle w:val="TableParagraph"/>
              <w:spacing w:line="199" w:lineRule="exact"/>
              <w:ind w:left="668" w:right="188"/>
              <w:jc w:val="center"/>
              <w:rPr>
                <w:sz w:val="18"/>
              </w:rPr>
            </w:pPr>
            <w:r>
              <w:rPr>
                <w:sz w:val="18"/>
              </w:rPr>
              <w:t>20.6%</w:t>
            </w:r>
          </w:p>
        </w:tc>
      </w:tr>
      <w:tr w:rsidR="00F5166D" w14:paraId="07252559" w14:textId="77777777">
        <w:trPr>
          <w:trHeight w:val="219"/>
        </w:trPr>
        <w:tc>
          <w:tcPr>
            <w:tcW w:w="6199" w:type="dxa"/>
          </w:tcPr>
          <w:p w14:paraId="6E9CD548" w14:textId="77777777" w:rsidR="00F5166D" w:rsidRDefault="00623797">
            <w:pPr>
              <w:pStyle w:val="TableParagraph"/>
              <w:tabs>
                <w:tab w:val="right" w:pos="5413"/>
              </w:tabs>
              <w:spacing w:line="199" w:lineRule="exact"/>
              <w:ind w:left="528"/>
              <w:jc w:val="left"/>
              <w:rPr>
                <w:sz w:val="18"/>
              </w:rPr>
            </w:pPr>
            <w:r>
              <w:rPr>
                <w:w w:val="105"/>
                <w:position w:val="1"/>
                <w:sz w:val="18"/>
              </w:rPr>
              <w:t>Χρησιμοποιούμενα αντισταθμιστικά εργαλεία (αριθμός)</w:t>
            </w:r>
            <w:r>
              <w:rPr>
                <w:rFonts w:ascii="Times New Roman"/>
                <w:w w:val="105"/>
                <w:position w:val="1"/>
                <w:sz w:val="18"/>
              </w:rPr>
              <w:tab/>
            </w:r>
            <w:r>
              <w:rPr>
                <w:w w:val="105"/>
                <w:sz w:val="18"/>
              </w:rPr>
              <w:t>3</w:t>
            </w:r>
          </w:p>
        </w:tc>
        <w:tc>
          <w:tcPr>
            <w:tcW w:w="1658" w:type="dxa"/>
          </w:tcPr>
          <w:p w14:paraId="11AF24D8" w14:textId="77777777" w:rsidR="00F5166D" w:rsidRDefault="00623797">
            <w:pPr>
              <w:pStyle w:val="TableParagraph"/>
              <w:spacing w:line="199" w:lineRule="exact"/>
              <w:ind w:left="668" w:right="188"/>
              <w:jc w:val="center"/>
              <w:rPr>
                <w:sz w:val="18"/>
              </w:rPr>
            </w:pPr>
            <w:r>
              <w:rPr>
                <w:sz w:val="18"/>
              </w:rPr>
              <w:t>21.1%</w:t>
            </w:r>
          </w:p>
        </w:tc>
      </w:tr>
      <w:tr w:rsidR="00F5166D" w14:paraId="039F87B5" w14:textId="77777777">
        <w:trPr>
          <w:trHeight w:val="219"/>
        </w:trPr>
        <w:tc>
          <w:tcPr>
            <w:tcW w:w="6199" w:type="dxa"/>
          </w:tcPr>
          <w:p w14:paraId="3716879F" w14:textId="77777777" w:rsidR="00F5166D" w:rsidRDefault="00623797">
            <w:pPr>
              <w:pStyle w:val="TableParagraph"/>
              <w:spacing w:line="199" w:lineRule="exact"/>
              <w:ind w:right="783"/>
              <w:rPr>
                <w:sz w:val="18"/>
              </w:rPr>
            </w:pPr>
            <w:r>
              <w:rPr>
                <w:w w:val="89"/>
                <w:sz w:val="18"/>
              </w:rPr>
              <w:t>4</w:t>
            </w:r>
          </w:p>
        </w:tc>
        <w:tc>
          <w:tcPr>
            <w:tcW w:w="1658" w:type="dxa"/>
          </w:tcPr>
          <w:p w14:paraId="765DB2C1" w14:textId="77777777" w:rsidR="00F5166D" w:rsidRDefault="00623797">
            <w:pPr>
              <w:pStyle w:val="TableParagraph"/>
              <w:spacing w:line="199" w:lineRule="exact"/>
              <w:ind w:left="668" w:right="188"/>
              <w:jc w:val="center"/>
              <w:rPr>
                <w:sz w:val="18"/>
              </w:rPr>
            </w:pPr>
            <w:r>
              <w:rPr>
                <w:sz w:val="18"/>
              </w:rPr>
              <w:t>14.3%</w:t>
            </w:r>
          </w:p>
        </w:tc>
      </w:tr>
      <w:tr w:rsidR="00F5166D" w14:paraId="435C5BA5" w14:textId="77777777">
        <w:trPr>
          <w:trHeight w:val="219"/>
        </w:trPr>
        <w:tc>
          <w:tcPr>
            <w:tcW w:w="6199" w:type="dxa"/>
          </w:tcPr>
          <w:p w14:paraId="1A25EC52" w14:textId="77777777" w:rsidR="00F5166D" w:rsidRDefault="00623797">
            <w:pPr>
              <w:pStyle w:val="TableParagraph"/>
              <w:spacing w:line="199" w:lineRule="exact"/>
              <w:ind w:right="783"/>
              <w:rPr>
                <w:sz w:val="18"/>
              </w:rPr>
            </w:pPr>
            <w:r>
              <w:rPr>
                <w:w w:val="89"/>
                <w:sz w:val="18"/>
              </w:rPr>
              <w:t>5</w:t>
            </w:r>
          </w:p>
        </w:tc>
        <w:tc>
          <w:tcPr>
            <w:tcW w:w="1658" w:type="dxa"/>
          </w:tcPr>
          <w:p w14:paraId="3BE7B6CB" w14:textId="77777777" w:rsidR="00F5166D" w:rsidRDefault="00623797">
            <w:pPr>
              <w:pStyle w:val="TableParagraph"/>
              <w:spacing w:line="199" w:lineRule="exact"/>
              <w:ind w:left="668" w:right="188"/>
              <w:jc w:val="center"/>
              <w:rPr>
                <w:sz w:val="18"/>
              </w:rPr>
            </w:pPr>
            <w:r>
              <w:rPr>
                <w:sz w:val="18"/>
              </w:rPr>
              <w:t>1.7%</w:t>
            </w:r>
          </w:p>
        </w:tc>
      </w:tr>
      <w:tr w:rsidR="00F5166D" w14:paraId="13D1280A" w14:textId="77777777">
        <w:trPr>
          <w:trHeight w:val="266"/>
        </w:trPr>
        <w:tc>
          <w:tcPr>
            <w:tcW w:w="6199" w:type="dxa"/>
            <w:tcBorders>
              <w:bottom w:val="single" w:sz="4" w:space="0" w:color="000000"/>
            </w:tcBorders>
          </w:tcPr>
          <w:p w14:paraId="493490DF" w14:textId="77777777" w:rsidR="00F5166D" w:rsidRDefault="00623797">
            <w:pPr>
              <w:pStyle w:val="TableParagraph"/>
              <w:spacing w:line="209" w:lineRule="exact"/>
              <w:ind w:right="783"/>
              <w:rPr>
                <w:sz w:val="18"/>
              </w:rPr>
            </w:pPr>
            <w:r>
              <w:rPr>
                <w:w w:val="89"/>
                <w:sz w:val="18"/>
              </w:rPr>
              <w:t>6</w:t>
            </w:r>
          </w:p>
        </w:tc>
        <w:tc>
          <w:tcPr>
            <w:tcW w:w="1658" w:type="dxa"/>
            <w:tcBorders>
              <w:bottom w:val="single" w:sz="4" w:space="0" w:color="000000"/>
            </w:tcBorders>
          </w:tcPr>
          <w:p w14:paraId="00A6A33E" w14:textId="77777777" w:rsidR="00F5166D" w:rsidRDefault="00623797">
            <w:pPr>
              <w:pStyle w:val="TableParagraph"/>
              <w:spacing w:line="209" w:lineRule="exact"/>
              <w:ind w:left="668" w:right="188"/>
              <w:jc w:val="center"/>
              <w:rPr>
                <w:sz w:val="18"/>
              </w:rPr>
            </w:pPr>
            <w:r>
              <w:rPr>
                <w:sz w:val="18"/>
              </w:rPr>
              <w:t>0.6%</w:t>
            </w:r>
          </w:p>
        </w:tc>
      </w:tr>
      <w:tr w:rsidR="00F5166D" w14:paraId="20D24DA3" w14:textId="77777777">
        <w:trPr>
          <w:trHeight w:val="257"/>
        </w:trPr>
        <w:tc>
          <w:tcPr>
            <w:tcW w:w="6199" w:type="dxa"/>
            <w:tcBorders>
              <w:top w:val="single" w:sz="4" w:space="0" w:color="000000"/>
            </w:tcBorders>
          </w:tcPr>
          <w:p w14:paraId="59F9C90C" w14:textId="77777777" w:rsidR="00F5166D" w:rsidRDefault="00623797">
            <w:pPr>
              <w:pStyle w:val="TableParagraph"/>
              <w:tabs>
                <w:tab w:val="left" w:pos="3909"/>
              </w:tabs>
              <w:spacing w:before="40" w:line="197" w:lineRule="exact"/>
              <w:ind w:right="704"/>
              <w:rPr>
                <w:sz w:val="18"/>
              </w:rPr>
            </w:pPr>
            <w:r>
              <w:rPr>
                <w:w w:val="105"/>
                <w:sz w:val="18"/>
              </w:rPr>
              <w:t>Εννοιολογικοί χάρτες</w:t>
            </w:r>
            <w:r>
              <w:rPr>
                <w:w w:val="105"/>
                <w:sz w:val="18"/>
              </w:rPr>
              <w:tab/>
            </w:r>
            <w:r>
              <w:rPr>
                <w:w w:val="105"/>
                <w:position w:val="10"/>
                <w:sz w:val="18"/>
              </w:rPr>
              <w:t>Όχι</w:t>
            </w:r>
          </w:p>
        </w:tc>
        <w:tc>
          <w:tcPr>
            <w:tcW w:w="1658" w:type="dxa"/>
            <w:tcBorders>
              <w:top w:val="single" w:sz="4" w:space="0" w:color="000000"/>
            </w:tcBorders>
          </w:tcPr>
          <w:p w14:paraId="5EA2A64A" w14:textId="77777777" w:rsidR="00F5166D" w:rsidRDefault="00623797">
            <w:pPr>
              <w:pStyle w:val="TableParagraph"/>
              <w:spacing w:before="36" w:line="201" w:lineRule="exact"/>
              <w:ind w:left="668" w:right="189"/>
              <w:jc w:val="center"/>
              <w:rPr>
                <w:sz w:val="18"/>
              </w:rPr>
            </w:pPr>
            <w:r>
              <w:rPr>
                <w:sz w:val="18"/>
              </w:rPr>
              <w:t>42.3%</w:t>
            </w:r>
          </w:p>
        </w:tc>
      </w:tr>
      <w:tr w:rsidR="00F5166D" w14:paraId="2A165591" w14:textId="77777777">
        <w:trPr>
          <w:trHeight w:val="266"/>
        </w:trPr>
        <w:tc>
          <w:tcPr>
            <w:tcW w:w="6199" w:type="dxa"/>
            <w:tcBorders>
              <w:bottom w:val="single" w:sz="4" w:space="0" w:color="000000"/>
            </w:tcBorders>
          </w:tcPr>
          <w:p w14:paraId="3EF91725"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74F9B15E" w14:textId="77777777" w:rsidR="00F5166D" w:rsidRDefault="00623797">
            <w:pPr>
              <w:pStyle w:val="TableParagraph"/>
              <w:spacing w:line="209" w:lineRule="exact"/>
              <w:ind w:left="668" w:right="188"/>
              <w:jc w:val="center"/>
              <w:rPr>
                <w:sz w:val="18"/>
              </w:rPr>
            </w:pPr>
            <w:r>
              <w:rPr>
                <w:sz w:val="18"/>
              </w:rPr>
              <w:t>57.7%</w:t>
            </w:r>
          </w:p>
        </w:tc>
      </w:tr>
      <w:tr w:rsidR="00F5166D" w14:paraId="50D640F0" w14:textId="77777777">
        <w:trPr>
          <w:trHeight w:val="257"/>
        </w:trPr>
        <w:tc>
          <w:tcPr>
            <w:tcW w:w="6199" w:type="dxa"/>
            <w:tcBorders>
              <w:top w:val="single" w:sz="4" w:space="0" w:color="000000"/>
            </w:tcBorders>
          </w:tcPr>
          <w:p w14:paraId="35DD5D3D" w14:textId="77777777" w:rsidR="00F5166D" w:rsidRDefault="00623797">
            <w:pPr>
              <w:pStyle w:val="TableParagraph"/>
              <w:tabs>
                <w:tab w:val="left" w:pos="3662"/>
              </w:tabs>
              <w:spacing w:before="41" w:line="196" w:lineRule="exact"/>
              <w:ind w:right="704"/>
              <w:rPr>
                <w:sz w:val="18"/>
              </w:rPr>
            </w:pPr>
            <w:r>
              <w:rPr>
                <w:w w:val="105"/>
                <w:sz w:val="18"/>
              </w:rPr>
              <w:t>Σύνοψη</w:t>
            </w:r>
            <w:r>
              <w:rPr>
                <w:w w:val="105"/>
                <w:sz w:val="18"/>
              </w:rPr>
              <w:tab/>
            </w:r>
            <w:r>
              <w:rPr>
                <w:w w:val="105"/>
                <w:position w:val="12"/>
                <w:sz w:val="18"/>
              </w:rPr>
              <w:t>Όχι</w:t>
            </w:r>
          </w:p>
        </w:tc>
        <w:tc>
          <w:tcPr>
            <w:tcW w:w="1658" w:type="dxa"/>
            <w:tcBorders>
              <w:top w:val="single" w:sz="4" w:space="0" w:color="000000"/>
            </w:tcBorders>
          </w:tcPr>
          <w:p w14:paraId="084EC488" w14:textId="77777777" w:rsidR="00F5166D" w:rsidRDefault="00623797">
            <w:pPr>
              <w:pStyle w:val="TableParagraph"/>
              <w:spacing w:before="36" w:line="201" w:lineRule="exact"/>
              <w:ind w:left="668" w:right="189"/>
              <w:jc w:val="center"/>
              <w:rPr>
                <w:sz w:val="18"/>
              </w:rPr>
            </w:pPr>
            <w:r>
              <w:rPr>
                <w:sz w:val="18"/>
              </w:rPr>
              <w:t>74.3%</w:t>
            </w:r>
          </w:p>
        </w:tc>
      </w:tr>
      <w:tr w:rsidR="00F5166D" w14:paraId="1FFA0286" w14:textId="77777777">
        <w:trPr>
          <w:trHeight w:val="266"/>
        </w:trPr>
        <w:tc>
          <w:tcPr>
            <w:tcW w:w="6199" w:type="dxa"/>
            <w:tcBorders>
              <w:bottom w:val="single" w:sz="4" w:space="0" w:color="000000"/>
            </w:tcBorders>
          </w:tcPr>
          <w:p w14:paraId="4686257B"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2358C7E9" w14:textId="77777777" w:rsidR="00F5166D" w:rsidRDefault="00623797">
            <w:pPr>
              <w:pStyle w:val="TableParagraph"/>
              <w:spacing w:line="209" w:lineRule="exact"/>
              <w:ind w:left="668" w:right="188"/>
              <w:jc w:val="center"/>
              <w:rPr>
                <w:sz w:val="18"/>
              </w:rPr>
            </w:pPr>
            <w:r>
              <w:rPr>
                <w:sz w:val="18"/>
              </w:rPr>
              <w:t>25.7%</w:t>
            </w:r>
          </w:p>
        </w:tc>
      </w:tr>
      <w:tr w:rsidR="00F5166D" w14:paraId="2ACA35F2" w14:textId="77777777">
        <w:trPr>
          <w:trHeight w:val="257"/>
        </w:trPr>
        <w:tc>
          <w:tcPr>
            <w:tcW w:w="6199" w:type="dxa"/>
            <w:tcBorders>
              <w:top w:val="single" w:sz="4" w:space="0" w:color="000000"/>
            </w:tcBorders>
          </w:tcPr>
          <w:p w14:paraId="553F9017" w14:textId="77777777" w:rsidR="00F5166D" w:rsidRDefault="00623797">
            <w:pPr>
              <w:pStyle w:val="TableParagraph"/>
              <w:tabs>
                <w:tab w:val="left" w:pos="3883"/>
              </w:tabs>
              <w:spacing w:before="40" w:line="197" w:lineRule="exact"/>
              <w:ind w:right="704"/>
              <w:rPr>
                <w:sz w:val="18"/>
              </w:rPr>
            </w:pPr>
            <w:r>
              <w:rPr>
                <w:w w:val="105"/>
                <w:sz w:val="18"/>
              </w:rPr>
              <w:t>Σύνθεση ομιλίας</w:t>
            </w:r>
            <w:r>
              <w:rPr>
                <w:w w:val="105"/>
                <w:sz w:val="18"/>
              </w:rPr>
              <w:tab/>
            </w:r>
            <w:r>
              <w:rPr>
                <w:w w:val="105"/>
                <w:position w:val="10"/>
                <w:sz w:val="18"/>
              </w:rPr>
              <w:t>Όχι</w:t>
            </w:r>
          </w:p>
        </w:tc>
        <w:tc>
          <w:tcPr>
            <w:tcW w:w="1658" w:type="dxa"/>
            <w:tcBorders>
              <w:top w:val="single" w:sz="4" w:space="0" w:color="000000"/>
            </w:tcBorders>
          </w:tcPr>
          <w:p w14:paraId="0287B227" w14:textId="77777777" w:rsidR="00F5166D" w:rsidRDefault="00623797">
            <w:pPr>
              <w:pStyle w:val="TableParagraph"/>
              <w:spacing w:before="36" w:line="201" w:lineRule="exact"/>
              <w:ind w:left="668" w:right="189"/>
              <w:jc w:val="center"/>
              <w:rPr>
                <w:sz w:val="18"/>
              </w:rPr>
            </w:pPr>
            <w:r>
              <w:rPr>
                <w:sz w:val="18"/>
              </w:rPr>
              <w:t>73.1%</w:t>
            </w:r>
          </w:p>
        </w:tc>
      </w:tr>
      <w:tr w:rsidR="00F5166D" w14:paraId="29ABE8EF" w14:textId="77777777">
        <w:trPr>
          <w:trHeight w:val="266"/>
        </w:trPr>
        <w:tc>
          <w:tcPr>
            <w:tcW w:w="6199" w:type="dxa"/>
            <w:tcBorders>
              <w:bottom w:val="single" w:sz="4" w:space="0" w:color="000000"/>
            </w:tcBorders>
          </w:tcPr>
          <w:p w14:paraId="2A844C1A"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30683AFE" w14:textId="77777777" w:rsidR="00F5166D" w:rsidRDefault="00623797">
            <w:pPr>
              <w:pStyle w:val="TableParagraph"/>
              <w:spacing w:line="209" w:lineRule="exact"/>
              <w:ind w:left="668" w:right="188"/>
              <w:jc w:val="center"/>
              <w:rPr>
                <w:sz w:val="18"/>
              </w:rPr>
            </w:pPr>
            <w:r>
              <w:rPr>
                <w:sz w:val="18"/>
              </w:rPr>
              <w:t>26.9%</w:t>
            </w:r>
          </w:p>
        </w:tc>
      </w:tr>
      <w:tr w:rsidR="00F5166D" w14:paraId="5F169C42" w14:textId="77777777">
        <w:trPr>
          <w:trHeight w:val="257"/>
        </w:trPr>
        <w:tc>
          <w:tcPr>
            <w:tcW w:w="6199" w:type="dxa"/>
            <w:tcBorders>
              <w:top w:val="single" w:sz="4" w:space="0" w:color="000000"/>
            </w:tcBorders>
          </w:tcPr>
          <w:p w14:paraId="4313D751" w14:textId="77777777" w:rsidR="00F5166D" w:rsidRDefault="00623797">
            <w:pPr>
              <w:pStyle w:val="TableParagraph"/>
              <w:tabs>
                <w:tab w:val="left" w:pos="3735"/>
              </w:tabs>
              <w:spacing w:before="40" w:line="197" w:lineRule="exact"/>
              <w:ind w:right="704"/>
              <w:rPr>
                <w:sz w:val="18"/>
              </w:rPr>
            </w:pPr>
            <w:r>
              <w:rPr>
                <w:w w:val="105"/>
                <w:sz w:val="18"/>
              </w:rPr>
              <w:t>Ορθογράφος</w:t>
            </w:r>
            <w:r>
              <w:rPr>
                <w:w w:val="105"/>
                <w:sz w:val="18"/>
              </w:rPr>
              <w:tab/>
            </w:r>
            <w:r>
              <w:rPr>
                <w:w w:val="105"/>
                <w:position w:val="10"/>
                <w:sz w:val="18"/>
              </w:rPr>
              <w:t>Όχι</w:t>
            </w:r>
          </w:p>
        </w:tc>
        <w:tc>
          <w:tcPr>
            <w:tcW w:w="1658" w:type="dxa"/>
            <w:tcBorders>
              <w:top w:val="single" w:sz="4" w:space="0" w:color="000000"/>
            </w:tcBorders>
          </w:tcPr>
          <w:p w14:paraId="6B3804A2" w14:textId="77777777" w:rsidR="00F5166D" w:rsidRDefault="00623797">
            <w:pPr>
              <w:pStyle w:val="TableParagraph"/>
              <w:spacing w:before="36" w:line="201" w:lineRule="exact"/>
              <w:ind w:left="668" w:right="189"/>
              <w:jc w:val="center"/>
              <w:rPr>
                <w:sz w:val="18"/>
              </w:rPr>
            </w:pPr>
            <w:r>
              <w:rPr>
                <w:sz w:val="18"/>
              </w:rPr>
              <w:t>77.1%</w:t>
            </w:r>
          </w:p>
        </w:tc>
      </w:tr>
      <w:tr w:rsidR="00F5166D" w14:paraId="7CC70F89" w14:textId="77777777">
        <w:trPr>
          <w:trHeight w:val="266"/>
        </w:trPr>
        <w:tc>
          <w:tcPr>
            <w:tcW w:w="6199" w:type="dxa"/>
            <w:tcBorders>
              <w:bottom w:val="single" w:sz="4" w:space="0" w:color="000000"/>
            </w:tcBorders>
          </w:tcPr>
          <w:p w14:paraId="01756EEA"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112CBFCF" w14:textId="77777777" w:rsidR="00F5166D" w:rsidRDefault="00623797">
            <w:pPr>
              <w:pStyle w:val="TableParagraph"/>
              <w:spacing w:line="209" w:lineRule="exact"/>
              <w:ind w:left="668" w:right="188"/>
              <w:jc w:val="center"/>
              <w:rPr>
                <w:sz w:val="18"/>
              </w:rPr>
            </w:pPr>
            <w:r>
              <w:rPr>
                <w:sz w:val="18"/>
              </w:rPr>
              <w:t>22.9%</w:t>
            </w:r>
          </w:p>
        </w:tc>
      </w:tr>
      <w:tr w:rsidR="00F5166D" w14:paraId="48361B5C" w14:textId="77777777">
        <w:trPr>
          <w:trHeight w:val="257"/>
        </w:trPr>
        <w:tc>
          <w:tcPr>
            <w:tcW w:w="6199" w:type="dxa"/>
            <w:tcBorders>
              <w:top w:val="single" w:sz="4" w:space="0" w:color="000000"/>
            </w:tcBorders>
          </w:tcPr>
          <w:p w14:paraId="7BABEDF8" w14:textId="77777777" w:rsidR="00F5166D" w:rsidRDefault="00623797">
            <w:pPr>
              <w:pStyle w:val="TableParagraph"/>
              <w:tabs>
                <w:tab w:val="left" w:pos="3467"/>
              </w:tabs>
              <w:spacing w:before="41" w:line="196" w:lineRule="exact"/>
              <w:ind w:right="704"/>
              <w:rPr>
                <w:sz w:val="18"/>
              </w:rPr>
            </w:pPr>
            <w:r>
              <w:rPr>
                <w:w w:val="110"/>
                <w:sz w:val="18"/>
              </w:rPr>
              <w:t>Μορφές</w:t>
            </w:r>
            <w:r>
              <w:rPr>
                <w:w w:val="110"/>
                <w:sz w:val="18"/>
              </w:rPr>
              <w:tab/>
            </w:r>
            <w:r>
              <w:rPr>
                <w:w w:val="110"/>
                <w:position w:val="12"/>
                <w:sz w:val="18"/>
              </w:rPr>
              <w:t>Όχι</w:t>
            </w:r>
          </w:p>
        </w:tc>
        <w:tc>
          <w:tcPr>
            <w:tcW w:w="1658" w:type="dxa"/>
            <w:tcBorders>
              <w:top w:val="single" w:sz="4" w:space="0" w:color="000000"/>
            </w:tcBorders>
          </w:tcPr>
          <w:p w14:paraId="0DD53A9C" w14:textId="77777777" w:rsidR="00F5166D" w:rsidRDefault="00623797">
            <w:pPr>
              <w:pStyle w:val="TableParagraph"/>
              <w:spacing w:before="36" w:line="201" w:lineRule="exact"/>
              <w:ind w:left="668" w:right="189"/>
              <w:jc w:val="center"/>
              <w:rPr>
                <w:sz w:val="18"/>
              </w:rPr>
            </w:pPr>
            <w:r>
              <w:rPr>
                <w:sz w:val="18"/>
              </w:rPr>
              <w:t>86.9%</w:t>
            </w:r>
          </w:p>
        </w:tc>
      </w:tr>
      <w:tr w:rsidR="00F5166D" w14:paraId="6B6E8D24" w14:textId="77777777">
        <w:trPr>
          <w:trHeight w:val="266"/>
        </w:trPr>
        <w:tc>
          <w:tcPr>
            <w:tcW w:w="6199" w:type="dxa"/>
            <w:tcBorders>
              <w:bottom w:val="single" w:sz="4" w:space="0" w:color="000000"/>
            </w:tcBorders>
          </w:tcPr>
          <w:p w14:paraId="5EC46419"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2F40FE75" w14:textId="77777777" w:rsidR="00F5166D" w:rsidRDefault="00623797">
            <w:pPr>
              <w:pStyle w:val="TableParagraph"/>
              <w:spacing w:line="209" w:lineRule="exact"/>
              <w:ind w:left="668" w:right="188"/>
              <w:jc w:val="center"/>
              <w:rPr>
                <w:sz w:val="18"/>
              </w:rPr>
            </w:pPr>
            <w:r>
              <w:rPr>
                <w:sz w:val="18"/>
              </w:rPr>
              <w:t>13.1%</w:t>
            </w:r>
          </w:p>
        </w:tc>
      </w:tr>
      <w:tr w:rsidR="00F5166D" w14:paraId="16306B97" w14:textId="77777777">
        <w:trPr>
          <w:trHeight w:val="257"/>
        </w:trPr>
        <w:tc>
          <w:tcPr>
            <w:tcW w:w="6199" w:type="dxa"/>
            <w:tcBorders>
              <w:top w:val="single" w:sz="4" w:space="0" w:color="000000"/>
            </w:tcBorders>
          </w:tcPr>
          <w:p w14:paraId="0B299897" w14:textId="77777777" w:rsidR="00F5166D" w:rsidRPr="00D11C54" w:rsidRDefault="00623797">
            <w:pPr>
              <w:pStyle w:val="TableParagraph"/>
              <w:tabs>
                <w:tab w:val="left" w:pos="4151"/>
              </w:tabs>
              <w:spacing w:before="40" w:line="197" w:lineRule="exact"/>
              <w:ind w:right="704"/>
              <w:rPr>
                <w:sz w:val="18"/>
                <w:lang w:val="el-GR"/>
              </w:rPr>
            </w:pPr>
            <w:r w:rsidRPr="00D11C54">
              <w:rPr>
                <w:w w:val="105"/>
                <w:sz w:val="18"/>
                <w:lang w:val="el-GR"/>
              </w:rPr>
              <w:t>Εξειδικευμένο μετά το σχολείο</w:t>
            </w:r>
            <w:r w:rsidRPr="00D11C54">
              <w:rPr>
                <w:w w:val="105"/>
                <w:sz w:val="18"/>
                <w:lang w:val="el-GR"/>
              </w:rPr>
              <w:tab/>
            </w:r>
            <w:r w:rsidRPr="00D11C54">
              <w:rPr>
                <w:w w:val="105"/>
                <w:position w:val="10"/>
                <w:sz w:val="18"/>
                <w:lang w:val="el-GR"/>
              </w:rPr>
              <w:t>Όχι</w:t>
            </w:r>
          </w:p>
        </w:tc>
        <w:tc>
          <w:tcPr>
            <w:tcW w:w="1658" w:type="dxa"/>
            <w:tcBorders>
              <w:top w:val="single" w:sz="4" w:space="0" w:color="000000"/>
            </w:tcBorders>
          </w:tcPr>
          <w:p w14:paraId="55CF8BBB" w14:textId="77777777" w:rsidR="00F5166D" w:rsidRDefault="00623797">
            <w:pPr>
              <w:pStyle w:val="TableParagraph"/>
              <w:spacing w:before="36" w:line="201" w:lineRule="exact"/>
              <w:ind w:left="668" w:right="189"/>
              <w:jc w:val="center"/>
              <w:rPr>
                <w:sz w:val="18"/>
              </w:rPr>
            </w:pPr>
            <w:r>
              <w:rPr>
                <w:sz w:val="18"/>
              </w:rPr>
              <w:t>52.0%</w:t>
            </w:r>
          </w:p>
        </w:tc>
      </w:tr>
      <w:tr w:rsidR="00F5166D" w14:paraId="28555824" w14:textId="77777777">
        <w:trPr>
          <w:trHeight w:val="266"/>
        </w:trPr>
        <w:tc>
          <w:tcPr>
            <w:tcW w:w="6199" w:type="dxa"/>
            <w:tcBorders>
              <w:bottom w:val="single" w:sz="4" w:space="0" w:color="000000"/>
            </w:tcBorders>
          </w:tcPr>
          <w:p w14:paraId="5A9C2D7C"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3489DFA4" w14:textId="77777777" w:rsidR="00F5166D" w:rsidRDefault="00623797">
            <w:pPr>
              <w:pStyle w:val="TableParagraph"/>
              <w:spacing w:line="209" w:lineRule="exact"/>
              <w:ind w:left="668" w:right="188"/>
              <w:jc w:val="center"/>
              <w:rPr>
                <w:sz w:val="18"/>
              </w:rPr>
            </w:pPr>
            <w:r>
              <w:rPr>
                <w:sz w:val="18"/>
              </w:rPr>
              <w:t>48.0%</w:t>
            </w:r>
          </w:p>
        </w:tc>
      </w:tr>
      <w:tr w:rsidR="00F5166D" w14:paraId="5F478411" w14:textId="77777777">
        <w:trPr>
          <w:trHeight w:val="257"/>
        </w:trPr>
        <w:tc>
          <w:tcPr>
            <w:tcW w:w="6199" w:type="dxa"/>
            <w:tcBorders>
              <w:top w:val="single" w:sz="4" w:space="0" w:color="000000"/>
            </w:tcBorders>
          </w:tcPr>
          <w:p w14:paraId="6D233471" w14:textId="77777777" w:rsidR="00F5166D" w:rsidRDefault="00623797">
            <w:pPr>
              <w:pStyle w:val="TableParagraph"/>
              <w:tabs>
                <w:tab w:val="left" w:pos="4272"/>
              </w:tabs>
              <w:spacing w:before="40" w:line="197" w:lineRule="exact"/>
              <w:ind w:right="704"/>
              <w:rPr>
                <w:sz w:val="18"/>
              </w:rPr>
            </w:pPr>
            <w:r>
              <w:rPr>
                <w:spacing w:val="-1"/>
                <w:w w:val="105"/>
                <w:sz w:val="18"/>
              </w:rPr>
              <w:t>Τεχνικές αυτοδιδασκαλίας</w:t>
            </w:r>
            <w:r>
              <w:rPr>
                <w:w w:val="105"/>
                <w:sz w:val="18"/>
              </w:rPr>
              <w:tab/>
            </w:r>
            <w:r>
              <w:rPr>
                <w:w w:val="105"/>
                <w:position w:val="10"/>
                <w:sz w:val="18"/>
              </w:rPr>
              <w:t>Όχι</w:t>
            </w:r>
          </w:p>
        </w:tc>
        <w:tc>
          <w:tcPr>
            <w:tcW w:w="1658" w:type="dxa"/>
            <w:tcBorders>
              <w:top w:val="single" w:sz="4" w:space="0" w:color="000000"/>
            </w:tcBorders>
          </w:tcPr>
          <w:p w14:paraId="7A9FCB4F" w14:textId="77777777" w:rsidR="00F5166D" w:rsidRDefault="00623797">
            <w:pPr>
              <w:pStyle w:val="TableParagraph"/>
              <w:spacing w:before="36" w:line="201" w:lineRule="exact"/>
              <w:ind w:left="668" w:right="189"/>
              <w:jc w:val="center"/>
              <w:rPr>
                <w:sz w:val="18"/>
              </w:rPr>
            </w:pPr>
            <w:r>
              <w:rPr>
                <w:sz w:val="18"/>
              </w:rPr>
              <w:t>90.9%</w:t>
            </w:r>
          </w:p>
        </w:tc>
      </w:tr>
      <w:tr w:rsidR="00F5166D" w14:paraId="5E687ABE" w14:textId="77777777">
        <w:trPr>
          <w:trHeight w:val="266"/>
        </w:trPr>
        <w:tc>
          <w:tcPr>
            <w:tcW w:w="6199" w:type="dxa"/>
            <w:tcBorders>
              <w:bottom w:val="single" w:sz="4" w:space="0" w:color="000000"/>
            </w:tcBorders>
          </w:tcPr>
          <w:p w14:paraId="55A26F71"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539A3823" w14:textId="77777777" w:rsidR="00F5166D" w:rsidRDefault="00623797">
            <w:pPr>
              <w:pStyle w:val="TableParagraph"/>
              <w:spacing w:line="209" w:lineRule="exact"/>
              <w:ind w:left="668" w:right="188"/>
              <w:jc w:val="center"/>
              <w:rPr>
                <w:sz w:val="18"/>
              </w:rPr>
            </w:pPr>
            <w:r>
              <w:rPr>
                <w:sz w:val="18"/>
              </w:rPr>
              <w:t>9.1%</w:t>
            </w:r>
          </w:p>
        </w:tc>
      </w:tr>
      <w:tr w:rsidR="00F5166D" w14:paraId="73BAF9F2" w14:textId="77777777">
        <w:trPr>
          <w:trHeight w:val="257"/>
        </w:trPr>
        <w:tc>
          <w:tcPr>
            <w:tcW w:w="6199" w:type="dxa"/>
            <w:tcBorders>
              <w:top w:val="single" w:sz="4" w:space="0" w:color="000000"/>
            </w:tcBorders>
          </w:tcPr>
          <w:p w14:paraId="6939B7AB" w14:textId="77777777" w:rsidR="00F5166D" w:rsidRDefault="00623797">
            <w:pPr>
              <w:pStyle w:val="TableParagraph"/>
              <w:tabs>
                <w:tab w:val="left" w:pos="4116"/>
              </w:tabs>
              <w:spacing w:before="34" w:line="204" w:lineRule="exact"/>
              <w:ind w:right="704"/>
              <w:rPr>
                <w:sz w:val="18"/>
              </w:rPr>
            </w:pPr>
            <w:r>
              <w:rPr>
                <w:w w:val="105"/>
                <w:sz w:val="18"/>
              </w:rPr>
              <w:t>Αποκατάσταση απειροστικής τρυγίας</w:t>
            </w:r>
            <w:r>
              <w:rPr>
                <w:w w:val="105"/>
                <w:sz w:val="18"/>
              </w:rPr>
              <w:tab/>
            </w:r>
            <w:r>
              <w:rPr>
                <w:w w:val="110"/>
                <w:position w:val="13"/>
                <w:sz w:val="18"/>
              </w:rPr>
              <w:t>Όχι</w:t>
            </w:r>
          </w:p>
        </w:tc>
        <w:tc>
          <w:tcPr>
            <w:tcW w:w="1658" w:type="dxa"/>
            <w:tcBorders>
              <w:top w:val="single" w:sz="4" w:space="0" w:color="000000"/>
            </w:tcBorders>
          </w:tcPr>
          <w:p w14:paraId="6648037F" w14:textId="77777777" w:rsidR="00F5166D" w:rsidRDefault="00623797">
            <w:pPr>
              <w:pStyle w:val="TableParagraph"/>
              <w:spacing w:before="36" w:line="201" w:lineRule="exact"/>
              <w:ind w:left="668" w:right="189"/>
              <w:jc w:val="center"/>
              <w:rPr>
                <w:sz w:val="18"/>
              </w:rPr>
            </w:pPr>
            <w:r>
              <w:rPr>
                <w:sz w:val="18"/>
              </w:rPr>
              <w:t>93.7%</w:t>
            </w:r>
          </w:p>
        </w:tc>
      </w:tr>
      <w:tr w:rsidR="00F5166D" w14:paraId="44485AFD" w14:textId="77777777">
        <w:trPr>
          <w:trHeight w:val="266"/>
        </w:trPr>
        <w:tc>
          <w:tcPr>
            <w:tcW w:w="6199" w:type="dxa"/>
            <w:tcBorders>
              <w:bottom w:val="single" w:sz="4" w:space="0" w:color="000000"/>
            </w:tcBorders>
          </w:tcPr>
          <w:p w14:paraId="6713BECF"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7B8BFBD0" w14:textId="77777777" w:rsidR="00F5166D" w:rsidRDefault="00623797">
            <w:pPr>
              <w:pStyle w:val="TableParagraph"/>
              <w:spacing w:line="209" w:lineRule="exact"/>
              <w:ind w:left="668" w:right="188"/>
              <w:jc w:val="center"/>
              <w:rPr>
                <w:sz w:val="18"/>
              </w:rPr>
            </w:pPr>
            <w:r>
              <w:rPr>
                <w:sz w:val="18"/>
              </w:rPr>
              <w:t>6.3%</w:t>
            </w:r>
          </w:p>
        </w:tc>
      </w:tr>
      <w:tr w:rsidR="00F5166D" w14:paraId="187DE5D2" w14:textId="77777777">
        <w:trPr>
          <w:trHeight w:val="257"/>
        </w:trPr>
        <w:tc>
          <w:tcPr>
            <w:tcW w:w="6199" w:type="dxa"/>
            <w:tcBorders>
              <w:top w:val="single" w:sz="4" w:space="0" w:color="000000"/>
            </w:tcBorders>
          </w:tcPr>
          <w:p w14:paraId="26D782A4" w14:textId="77777777" w:rsidR="00F5166D" w:rsidRDefault="00623797">
            <w:pPr>
              <w:pStyle w:val="TableParagraph"/>
              <w:tabs>
                <w:tab w:val="left" w:pos="4153"/>
              </w:tabs>
              <w:spacing w:before="34" w:line="204" w:lineRule="exact"/>
              <w:ind w:right="704"/>
              <w:rPr>
                <w:sz w:val="18"/>
              </w:rPr>
            </w:pPr>
            <w:r>
              <w:rPr>
                <w:w w:val="105"/>
                <w:sz w:val="18"/>
              </w:rPr>
              <w:t>Αποκατάσταση προσοχής</w:t>
            </w:r>
            <w:r>
              <w:rPr>
                <w:w w:val="105"/>
                <w:sz w:val="18"/>
              </w:rPr>
              <w:tab/>
            </w:r>
            <w:r>
              <w:rPr>
                <w:w w:val="105"/>
                <w:position w:val="13"/>
                <w:sz w:val="18"/>
              </w:rPr>
              <w:t>Όχι</w:t>
            </w:r>
          </w:p>
        </w:tc>
        <w:tc>
          <w:tcPr>
            <w:tcW w:w="1658" w:type="dxa"/>
            <w:tcBorders>
              <w:top w:val="single" w:sz="4" w:space="0" w:color="000000"/>
            </w:tcBorders>
          </w:tcPr>
          <w:p w14:paraId="34BB822E" w14:textId="77777777" w:rsidR="00F5166D" w:rsidRDefault="00623797">
            <w:pPr>
              <w:pStyle w:val="TableParagraph"/>
              <w:spacing w:before="36" w:line="201" w:lineRule="exact"/>
              <w:ind w:left="668" w:right="189"/>
              <w:jc w:val="center"/>
              <w:rPr>
                <w:sz w:val="18"/>
              </w:rPr>
            </w:pPr>
            <w:r>
              <w:rPr>
                <w:sz w:val="18"/>
              </w:rPr>
              <w:t>92.0%</w:t>
            </w:r>
          </w:p>
        </w:tc>
      </w:tr>
      <w:tr w:rsidR="00F5166D" w14:paraId="7A81EBA9" w14:textId="77777777">
        <w:trPr>
          <w:trHeight w:val="266"/>
        </w:trPr>
        <w:tc>
          <w:tcPr>
            <w:tcW w:w="6199" w:type="dxa"/>
            <w:tcBorders>
              <w:bottom w:val="single" w:sz="4" w:space="0" w:color="000000"/>
            </w:tcBorders>
          </w:tcPr>
          <w:p w14:paraId="30E66B3A"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12AC63EB" w14:textId="77777777" w:rsidR="00F5166D" w:rsidRDefault="00623797">
            <w:pPr>
              <w:pStyle w:val="TableParagraph"/>
              <w:spacing w:line="209" w:lineRule="exact"/>
              <w:ind w:left="668" w:right="188"/>
              <w:jc w:val="center"/>
              <w:rPr>
                <w:sz w:val="18"/>
              </w:rPr>
            </w:pPr>
            <w:r>
              <w:rPr>
                <w:sz w:val="18"/>
              </w:rPr>
              <w:t>8.0%</w:t>
            </w:r>
          </w:p>
        </w:tc>
      </w:tr>
      <w:tr w:rsidR="00F5166D" w14:paraId="35131746" w14:textId="77777777">
        <w:trPr>
          <w:trHeight w:val="257"/>
        </w:trPr>
        <w:tc>
          <w:tcPr>
            <w:tcW w:w="6199" w:type="dxa"/>
            <w:tcBorders>
              <w:top w:val="single" w:sz="4" w:space="0" w:color="000000"/>
            </w:tcBorders>
          </w:tcPr>
          <w:p w14:paraId="653AA28F" w14:textId="77777777" w:rsidR="00F5166D" w:rsidRPr="00D11C54" w:rsidRDefault="00623797">
            <w:pPr>
              <w:pStyle w:val="TableParagraph"/>
              <w:tabs>
                <w:tab w:val="left" w:pos="4983"/>
              </w:tabs>
              <w:spacing w:before="40" w:line="197" w:lineRule="exact"/>
              <w:ind w:right="704"/>
              <w:rPr>
                <w:sz w:val="18"/>
                <w:lang w:val="el-GR"/>
              </w:rPr>
            </w:pPr>
            <w:r w:rsidRPr="00D11C54">
              <w:rPr>
                <w:sz w:val="18"/>
                <w:lang w:val="el-GR"/>
              </w:rPr>
              <w:t>Αποκατάσταση ταχύτητας ανάγνωσης (ταχιστοσκοπική)</w:t>
            </w:r>
            <w:r w:rsidRPr="00D11C54">
              <w:rPr>
                <w:sz w:val="18"/>
                <w:lang w:val="el-GR"/>
              </w:rPr>
              <w:tab/>
            </w:r>
            <w:r w:rsidRPr="00D11C54">
              <w:rPr>
                <w:position w:val="10"/>
                <w:sz w:val="18"/>
                <w:lang w:val="el-GR"/>
              </w:rPr>
              <w:t>Όχι</w:t>
            </w:r>
          </w:p>
        </w:tc>
        <w:tc>
          <w:tcPr>
            <w:tcW w:w="1658" w:type="dxa"/>
            <w:tcBorders>
              <w:top w:val="single" w:sz="4" w:space="0" w:color="000000"/>
            </w:tcBorders>
          </w:tcPr>
          <w:p w14:paraId="157B4502" w14:textId="77777777" w:rsidR="00F5166D" w:rsidRDefault="00623797">
            <w:pPr>
              <w:pStyle w:val="TableParagraph"/>
              <w:spacing w:before="36" w:line="201" w:lineRule="exact"/>
              <w:ind w:left="668" w:right="189"/>
              <w:jc w:val="center"/>
              <w:rPr>
                <w:sz w:val="18"/>
              </w:rPr>
            </w:pPr>
            <w:r>
              <w:rPr>
                <w:sz w:val="18"/>
              </w:rPr>
              <w:t>93.1%</w:t>
            </w:r>
          </w:p>
        </w:tc>
      </w:tr>
      <w:tr w:rsidR="00F5166D" w14:paraId="6DFE920A" w14:textId="77777777">
        <w:trPr>
          <w:trHeight w:val="266"/>
        </w:trPr>
        <w:tc>
          <w:tcPr>
            <w:tcW w:w="6199" w:type="dxa"/>
            <w:tcBorders>
              <w:bottom w:val="single" w:sz="4" w:space="0" w:color="000000"/>
            </w:tcBorders>
          </w:tcPr>
          <w:p w14:paraId="38709F16"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5393F3D8" w14:textId="77777777" w:rsidR="00F5166D" w:rsidRDefault="00623797">
            <w:pPr>
              <w:pStyle w:val="TableParagraph"/>
              <w:spacing w:line="209" w:lineRule="exact"/>
              <w:ind w:left="668" w:right="188"/>
              <w:jc w:val="center"/>
              <w:rPr>
                <w:sz w:val="18"/>
              </w:rPr>
            </w:pPr>
            <w:r>
              <w:rPr>
                <w:sz w:val="18"/>
              </w:rPr>
              <w:t>6.9%</w:t>
            </w:r>
          </w:p>
        </w:tc>
      </w:tr>
      <w:tr w:rsidR="00F5166D" w14:paraId="2A3EC2D6" w14:textId="77777777">
        <w:trPr>
          <w:trHeight w:val="257"/>
        </w:trPr>
        <w:tc>
          <w:tcPr>
            <w:tcW w:w="6199" w:type="dxa"/>
            <w:tcBorders>
              <w:top w:val="single" w:sz="4" w:space="0" w:color="000000"/>
            </w:tcBorders>
          </w:tcPr>
          <w:p w14:paraId="5A356B0A" w14:textId="77777777" w:rsidR="00F5166D" w:rsidRDefault="00623797">
            <w:pPr>
              <w:pStyle w:val="TableParagraph"/>
              <w:tabs>
                <w:tab w:val="left" w:pos="4021"/>
              </w:tabs>
              <w:spacing w:before="34" w:line="204" w:lineRule="exact"/>
              <w:ind w:right="704"/>
              <w:rPr>
                <w:sz w:val="18"/>
              </w:rPr>
            </w:pPr>
            <w:r>
              <w:rPr>
                <w:w w:val="105"/>
                <w:sz w:val="18"/>
              </w:rPr>
              <w:t>Αποκατάσταση πραξίας</w:t>
            </w:r>
            <w:r>
              <w:rPr>
                <w:w w:val="105"/>
                <w:sz w:val="18"/>
              </w:rPr>
              <w:tab/>
            </w:r>
            <w:r>
              <w:rPr>
                <w:w w:val="105"/>
                <w:position w:val="13"/>
                <w:sz w:val="18"/>
              </w:rPr>
              <w:t>Όχι</w:t>
            </w:r>
          </w:p>
        </w:tc>
        <w:tc>
          <w:tcPr>
            <w:tcW w:w="1658" w:type="dxa"/>
            <w:tcBorders>
              <w:top w:val="single" w:sz="4" w:space="0" w:color="000000"/>
            </w:tcBorders>
          </w:tcPr>
          <w:p w14:paraId="4E583D91" w14:textId="77777777" w:rsidR="00F5166D" w:rsidRDefault="00623797">
            <w:pPr>
              <w:pStyle w:val="TableParagraph"/>
              <w:spacing w:before="36" w:line="201" w:lineRule="exact"/>
              <w:ind w:left="668" w:right="189"/>
              <w:jc w:val="center"/>
              <w:rPr>
                <w:sz w:val="18"/>
              </w:rPr>
            </w:pPr>
            <w:r>
              <w:rPr>
                <w:sz w:val="18"/>
              </w:rPr>
              <w:t>92.6%</w:t>
            </w:r>
          </w:p>
        </w:tc>
      </w:tr>
      <w:tr w:rsidR="00F5166D" w14:paraId="7B6C4D92" w14:textId="77777777">
        <w:trPr>
          <w:trHeight w:val="266"/>
        </w:trPr>
        <w:tc>
          <w:tcPr>
            <w:tcW w:w="6199" w:type="dxa"/>
            <w:tcBorders>
              <w:bottom w:val="single" w:sz="4" w:space="0" w:color="000000"/>
            </w:tcBorders>
          </w:tcPr>
          <w:p w14:paraId="44C55971"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62052BC0" w14:textId="77777777" w:rsidR="00F5166D" w:rsidRDefault="00623797">
            <w:pPr>
              <w:pStyle w:val="TableParagraph"/>
              <w:spacing w:line="209" w:lineRule="exact"/>
              <w:ind w:left="668" w:right="188"/>
              <w:jc w:val="center"/>
              <w:rPr>
                <w:sz w:val="18"/>
              </w:rPr>
            </w:pPr>
            <w:r>
              <w:rPr>
                <w:sz w:val="18"/>
              </w:rPr>
              <w:t>7.4%</w:t>
            </w:r>
          </w:p>
        </w:tc>
      </w:tr>
      <w:tr w:rsidR="00F5166D" w14:paraId="0E49D4D9" w14:textId="77777777">
        <w:trPr>
          <w:trHeight w:val="257"/>
        </w:trPr>
        <w:tc>
          <w:tcPr>
            <w:tcW w:w="6199" w:type="dxa"/>
            <w:tcBorders>
              <w:top w:val="single" w:sz="4" w:space="0" w:color="000000"/>
            </w:tcBorders>
          </w:tcPr>
          <w:p w14:paraId="04E8DEAB" w14:textId="77777777" w:rsidR="00F5166D" w:rsidRDefault="00623797">
            <w:pPr>
              <w:pStyle w:val="TableParagraph"/>
              <w:tabs>
                <w:tab w:val="left" w:pos="3930"/>
              </w:tabs>
              <w:spacing w:before="37" w:line="200" w:lineRule="exact"/>
              <w:ind w:right="704"/>
              <w:rPr>
                <w:sz w:val="18"/>
              </w:rPr>
            </w:pPr>
            <w:r>
              <w:rPr>
                <w:w w:val="105"/>
                <w:sz w:val="18"/>
              </w:rPr>
              <w:t>Ασκήσεις μνήμης</w:t>
            </w:r>
            <w:r>
              <w:rPr>
                <w:w w:val="105"/>
                <w:sz w:val="18"/>
              </w:rPr>
              <w:tab/>
            </w:r>
            <w:r>
              <w:rPr>
                <w:w w:val="105"/>
                <w:position w:val="10"/>
                <w:sz w:val="18"/>
              </w:rPr>
              <w:t>Όχι</w:t>
            </w:r>
          </w:p>
        </w:tc>
        <w:tc>
          <w:tcPr>
            <w:tcW w:w="1658" w:type="dxa"/>
            <w:tcBorders>
              <w:top w:val="single" w:sz="4" w:space="0" w:color="000000"/>
            </w:tcBorders>
          </w:tcPr>
          <w:p w14:paraId="74B2E6B6" w14:textId="77777777" w:rsidR="00F5166D" w:rsidRDefault="00623797">
            <w:pPr>
              <w:pStyle w:val="TableParagraph"/>
              <w:spacing w:before="36" w:line="201" w:lineRule="exact"/>
              <w:ind w:left="668" w:right="189"/>
              <w:jc w:val="center"/>
              <w:rPr>
                <w:sz w:val="18"/>
              </w:rPr>
            </w:pPr>
            <w:r>
              <w:rPr>
                <w:sz w:val="18"/>
              </w:rPr>
              <w:t>92.0%</w:t>
            </w:r>
          </w:p>
        </w:tc>
      </w:tr>
      <w:tr w:rsidR="00F5166D" w14:paraId="16B77668" w14:textId="77777777">
        <w:trPr>
          <w:trHeight w:val="266"/>
        </w:trPr>
        <w:tc>
          <w:tcPr>
            <w:tcW w:w="6199" w:type="dxa"/>
            <w:tcBorders>
              <w:bottom w:val="single" w:sz="4" w:space="0" w:color="000000"/>
            </w:tcBorders>
          </w:tcPr>
          <w:p w14:paraId="41773EB5"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16AD703C" w14:textId="77777777" w:rsidR="00F5166D" w:rsidRDefault="00623797">
            <w:pPr>
              <w:pStyle w:val="TableParagraph"/>
              <w:spacing w:line="209" w:lineRule="exact"/>
              <w:ind w:left="668" w:right="188"/>
              <w:jc w:val="center"/>
              <w:rPr>
                <w:sz w:val="18"/>
              </w:rPr>
            </w:pPr>
            <w:r>
              <w:rPr>
                <w:sz w:val="18"/>
              </w:rPr>
              <w:t>8.0%</w:t>
            </w:r>
          </w:p>
        </w:tc>
      </w:tr>
      <w:tr w:rsidR="00F5166D" w14:paraId="22832B26" w14:textId="77777777">
        <w:trPr>
          <w:trHeight w:val="257"/>
        </w:trPr>
        <w:tc>
          <w:tcPr>
            <w:tcW w:w="6199" w:type="dxa"/>
            <w:tcBorders>
              <w:top w:val="single" w:sz="4" w:space="0" w:color="000000"/>
            </w:tcBorders>
          </w:tcPr>
          <w:p w14:paraId="174627A2" w14:textId="77777777" w:rsidR="00F5166D" w:rsidRPr="00D11C54" w:rsidRDefault="00623797">
            <w:pPr>
              <w:pStyle w:val="TableParagraph"/>
              <w:tabs>
                <w:tab w:val="left" w:pos="4908"/>
              </w:tabs>
              <w:spacing w:before="40" w:line="197" w:lineRule="exact"/>
              <w:ind w:right="704"/>
              <w:rPr>
                <w:sz w:val="18"/>
                <w:lang w:val="el-GR"/>
              </w:rPr>
            </w:pPr>
            <w:r w:rsidRPr="00D11C54">
              <w:rPr>
                <w:w w:val="105"/>
                <w:sz w:val="18"/>
                <w:lang w:val="el-GR"/>
              </w:rPr>
              <w:t>Αποκατάσταση ανάγνωσης και κατανόησης</w:t>
            </w:r>
            <w:r w:rsidRPr="00D11C54">
              <w:rPr>
                <w:w w:val="105"/>
                <w:sz w:val="18"/>
                <w:lang w:val="el-GR"/>
              </w:rPr>
              <w:tab/>
            </w:r>
            <w:r w:rsidRPr="00D11C54">
              <w:rPr>
                <w:w w:val="105"/>
                <w:position w:val="10"/>
                <w:sz w:val="18"/>
                <w:lang w:val="el-GR"/>
              </w:rPr>
              <w:t>Όχι</w:t>
            </w:r>
          </w:p>
        </w:tc>
        <w:tc>
          <w:tcPr>
            <w:tcW w:w="1658" w:type="dxa"/>
            <w:tcBorders>
              <w:top w:val="single" w:sz="4" w:space="0" w:color="000000"/>
            </w:tcBorders>
          </w:tcPr>
          <w:p w14:paraId="796B4000" w14:textId="77777777" w:rsidR="00F5166D" w:rsidRDefault="00623797">
            <w:pPr>
              <w:pStyle w:val="TableParagraph"/>
              <w:spacing w:before="36" w:line="201" w:lineRule="exact"/>
              <w:ind w:left="668" w:right="189"/>
              <w:jc w:val="center"/>
              <w:rPr>
                <w:sz w:val="18"/>
              </w:rPr>
            </w:pPr>
            <w:r>
              <w:rPr>
                <w:sz w:val="18"/>
              </w:rPr>
              <w:t>93.1%</w:t>
            </w:r>
          </w:p>
        </w:tc>
      </w:tr>
      <w:tr w:rsidR="00F5166D" w14:paraId="258AE76C" w14:textId="77777777">
        <w:trPr>
          <w:trHeight w:val="266"/>
        </w:trPr>
        <w:tc>
          <w:tcPr>
            <w:tcW w:w="6199" w:type="dxa"/>
            <w:tcBorders>
              <w:bottom w:val="single" w:sz="4" w:space="0" w:color="000000"/>
            </w:tcBorders>
          </w:tcPr>
          <w:p w14:paraId="1D1B210E"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34CFDE2B" w14:textId="77777777" w:rsidR="00F5166D" w:rsidRDefault="00623797">
            <w:pPr>
              <w:pStyle w:val="TableParagraph"/>
              <w:spacing w:line="209" w:lineRule="exact"/>
              <w:ind w:left="668" w:right="188"/>
              <w:jc w:val="center"/>
              <w:rPr>
                <w:sz w:val="18"/>
              </w:rPr>
            </w:pPr>
            <w:r>
              <w:rPr>
                <w:sz w:val="18"/>
              </w:rPr>
              <w:t>6.9%</w:t>
            </w:r>
          </w:p>
        </w:tc>
      </w:tr>
      <w:tr w:rsidR="00F5166D" w14:paraId="70D827BB" w14:textId="77777777">
        <w:trPr>
          <w:trHeight w:val="257"/>
        </w:trPr>
        <w:tc>
          <w:tcPr>
            <w:tcW w:w="6199" w:type="dxa"/>
            <w:tcBorders>
              <w:top w:val="single" w:sz="4" w:space="0" w:color="000000"/>
            </w:tcBorders>
          </w:tcPr>
          <w:p w14:paraId="5CDCDEDE" w14:textId="77777777" w:rsidR="00F5166D" w:rsidRDefault="00623797">
            <w:pPr>
              <w:pStyle w:val="TableParagraph"/>
              <w:tabs>
                <w:tab w:val="left" w:pos="4222"/>
              </w:tabs>
              <w:spacing w:before="40" w:line="197" w:lineRule="exact"/>
              <w:ind w:right="704"/>
              <w:rPr>
                <w:sz w:val="18"/>
              </w:rPr>
            </w:pPr>
            <w:r>
              <w:rPr>
                <w:w w:val="105"/>
                <w:sz w:val="18"/>
              </w:rPr>
              <w:t>Συντονισμός ματιού-χειρός</w:t>
            </w:r>
            <w:r>
              <w:rPr>
                <w:w w:val="105"/>
                <w:sz w:val="18"/>
              </w:rPr>
              <w:tab/>
            </w:r>
            <w:r>
              <w:rPr>
                <w:w w:val="105"/>
                <w:position w:val="10"/>
                <w:sz w:val="18"/>
              </w:rPr>
              <w:t>Όχι</w:t>
            </w:r>
          </w:p>
        </w:tc>
        <w:tc>
          <w:tcPr>
            <w:tcW w:w="1658" w:type="dxa"/>
            <w:tcBorders>
              <w:top w:val="single" w:sz="4" w:space="0" w:color="000000"/>
            </w:tcBorders>
          </w:tcPr>
          <w:p w14:paraId="205ED32D" w14:textId="77777777" w:rsidR="00F5166D" w:rsidRDefault="00623797">
            <w:pPr>
              <w:pStyle w:val="TableParagraph"/>
              <w:spacing w:before="36" w:line="201" w:lineRule="exact"/>
              <w:ind w:left="668" w:right="189"/>
              <w:jc w:val="center"/>
              <w:rPr>
                <w:sz w:val="18"/>
              </w:rPr>
            </w:pPr>
            <w:r>
              <w:rPr>
                <w:sz w:val="18"/>
              </w:rPr>
              <w:t>95.4%</w:t>
            </w:r>
          </w:p>
        </w:tc>
      </w:tr>
      <w:tr w:rsidR="00F5166D" w14:paraId="4808C7F1" w14:textId="77777777">
        <w:trPr>
          <w:trHeight w:val="266"/>
        </w:trPr>
        <w:tc>
          <w:tcPr>
            <w:tcW w:w="6199" w:type="dxa"/>
            <w:tcBorders>
              <w:bottom w:val="single" w:sz="4" w:space="0" w:color="000000"/>
            </w:tcBorders>
          </w:tcPr>
          <w:p w14:paraId="2F792E97"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56FD21DC" w14:textId="77777777" w:rsidR="00F5166D" w:rsidRDefault="00623797">
            <w:pPr>
              <w:pStyle w:val="TableParagraph"/>
              <w:spacing w:line="209" w:lineRule="exact"/>
              <w:ind w:left="668" w:right="188"/>
              <w:jc w:val="center"/>
              <w:rPr>
                <w:sz w:val="18"/>
              </w:rPr>
            </w:pPr>
            <w:r>
              <w:rPr>
                <w:sz w:val="18"/>
              </w:rPr>
              <w:t>4.6%</w:t>
            </w:r>
          </w:p>
        </w:tc>
      </w:tr>
      <w:tr w:rsidR="00F5166D" w14:paraId="027A1AF6" w14:textId="77777777">
        <w:trPr>
          <w:trHeight w:val="257"/>
        </w:trPr>
        <w:tc>
          <w:tcPr>
            <w:tcW w:w="6199" w:type="dxa"/>
            <w:tcBorders>
              <w:top w:val="single" w:sz="4" w:space="0" w:color="000000"/>
            </w:tcBorders>
          </w:tcPr>
          <w:p w14:paraId="13EB4C49" w14:textId="77777777" w:rsidR="00F5166D" w:rsidRDefault="00623797">
            <w:pPr>
              <w:pStyle w:val="TableParagraph"/>
              <w:tabs>
                <w:tab w:val="left" w:pos="4094"/>
              </w:tabs>
              <w:spacing w:before="40" w:line="197" w:lineRule="exact"/>
              <w:ind w:right="704"/>
              <w:rPr>
                <w:sz w:val="18"/>
              </w:rPr>
            </w:pPr>
            <w:r>
              <w:rPr>
                <w:w w:val="105"/>
                <w:sz w:val="18"/>
              </w:rPr>
              <w:t>Ορθογραφική αποκατάσταση</w:t>
            </w:r>
            <w:r>
              <w:rPr>
                <w:w w:val="105"/>
                <w:sz w:val="18"/>
              </w:rPr>
              <w:tab/>
            </w:r>
            <w:r>
              <w:rPr>
                <w:w w:val="105"/>
                <w:position w:val="10"/>
                <w:sz w:val="18"/>
              </w:rPr>
              <w:t>Όχι</w:t>
            </w:r>
          </w:p>
        </w:tc>
        <w:tc>
          <w:tcPr>
            <w:tcW w:w="1658" w:type="dxa"/>
            <w:tcBorders>
              <w:top w:val="single" w:sz="4" w:space="0" w:color="000000"/>
            </w:tcBorders>
          </w:tcPr>
          <w:p w14:paraId="44DA36EE" w14:textId="77777777" w:rsidR="00F5166D" w:rsidRDefault="00623797">
            <w:pPr>
              <w:pStyle w:val="TableParagraph"/>
              <w:spacing w:before="36" w:line="201" w:lineRule="exact"/>
              <w:ind w:left="668" w:right="189"/>
              <w:jc w:val="center"/>
              <w:rPr>
                <w:sz w:val="18"/>
              </w:rPr>
            </w:pPr>
            <w:r>
              <w:rPr>
                <w:sz w:val="18"/>
              </w:rPr>
              <w:t>94.3%</w:t>
            </w:r>
          </w:p>
        </w:tc>
      </w:tr>
      <w:tr w:rsidR="00F5166D" w14:paraId="6B9C723C" w14:textId="77777777">
        <w:trPr>
          <w:trHeight w:val="266"/>
        </w:trPr>
        <w:tc>
          <w:tcPr>
            <w:tcW w:w="6199" w:type="dxa"/>
            <w:tcBorders>
              <w:bottom w:val="single" w:sz="4" w:space="0" w:color="000000"/>
            </w:tcBorders>
          </w:tcPr>
          <w:p w14:paraId="21690252"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548ACB0C" w14:textId="77777777" w:rsidR="00F5166D" w:rsidRDefault="00623797">
            <w:pPr>
              <w:pStyle w:val="TableParagraph"/>
              <w:spacing w:line="209" w:lineRule="exact"/>
              <w:ind w:left="668" w:right="188"/>
              <w:jc w:val="center"/>
              <w:rPr>
                <w:sz w:val="18"/>
              </w:rPr>
            </w:pPr>
            <w:r>
              <w:rPr>
                <w:sz w:val="18"/>
              </w:rPr>
              <w:t>5.7%</w:t>
            </w:r>
          </w:p>
        </w:tc>
      </w:tr>
      <w:tr w:rsidR="00F5166D" w14:paraId="2A3290F4" w14:textId="77777777">
        <w:trPr>
          <w:trHeight w:val="257"/>
        </w:trPr>
        <w:tc>
          <w:tcPr>
            <w:tcW w:w="6199" w:type="dxa"/>
            <w:tcBorders>
              <w:top w:val="single" w:sz="4" w:space="0" w:color="000000"/>
            </w:tcBorders>
          </w:tcPr>
          <w:p w14:paraId="6BD750B2" w14:textId="77777777" w:rsidR="00F5166D" w:rsidRPr="00D11C54" w:rsidRDefault="00623797">
            <w:pPr>
              <w:pStyle w:val="TableParagraph"/>
              <w:tabs>
                <w:tab w:val="left" w:pos="4057"/>
              </w:tabs>
              <w:spacing w:before="34" w:line="204" w:lineRule="exact"/>
              <w:ind w:right="704"/>
              <w:rPr>
                <w:sz w:val="18"/>
                <w:lang w:val="el-GR"/>
              </w:rPr>
            </w:pPr>
            <w:r w:rsidRPr="00D11C54">
              <w:rPr>
                <w:w w:val="105"/>
                <w:sz w:val="18"/>
                <w:lang w:val="el-GR"/>
              </w:rPr>
              <w:t>Εργαστείτε στον μυϊκό τόνο</w:t>
            </w:r>
            <w:r w:rsidRPr="00D11C54">
              <w:rPr>
                <w:w w:val="105"/>
                <w:sz w:val="18"/>
                <w:lang w:val="el-GR"/>
              </w:rPr>
              <w:tab/>
            </w:r>
            <w:r w:rsidRPr="00D11C54">
              <w:rPr>
                <w:w w:val="105"/>
                <w:position w:val="13"/>
                <w:sz w:val="18"/>
                <w:lang w:val="el-GR"/>
              </w:rPr>
              <w:t>Όχι</w:t>
            </w:r>
          </w:p>
        </w:tc>
        <w:tc>
          <w:tcPr>
            <w:tcW w:w="1658" w:type="dxa"/>
            <w:tcBorders>
              <w:top w:val="single" w:sz="4" w:space="0" w:color="000000"/>
            </w:tcBorders>
          </w:tcPr>
          <w:p w14:paraId="3E3FA1E5" w14:textId="77777777" w:rsidR="00F5166D" w:rsidRDefault="00623797">
            <w:pPr>
              <w:pStyle w:val="TableParagraph"/>
              <w:spacing w:before="36" w:line="201" w:lineRule="exact"/>
              <w:ind w:left="668" w:right="189"/>
              <w:jc w:val="center"/>
              <w:rPr>
                <w:sz w:val="18"/>
              </w:rPr>
            </w:pPr>
            <w:r>
              <w:rPr>
                <w:sz w:val="18"/>
              </w:rPr>
              <w:t>96.6%</w:t>
            </w:r>
          </w:p>
        </w:tc>
      </w:tr>
      <w:tr w:rsidR="00F5166D" w14:paraId="23384562" w14:textId="77777777">
        <w:trPr>
          <w:trHeight w:val="266"/>
        </w:trPr>
        <w:tc>
          <w:tcPr>
            <w:tcW w:w="6199" w:type="dxa"/>
            <w:tcBorders>
              <w:bottom w:val="single" w:sz="8" w:space="0" w:color="000000"/>
            </w:tcBorders>
          </w:tcPr>
          <w:p w14:paraId="70EFB468"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8" w:space="0" w:color="000000"/>
            </w:tcBorders>
          </w:tcPr>
          <w:p w14:paraId="36E8FCD5" w14:textId="77777777" w:rsidR="00F5166D" w:rsidRDefault="00623797">
            <w:pPr>
              <w:pStyle w:val="TableParagraph"/>
              <w:spacing w:line="209" w:lineRule="exact"/>
              <w:ind w:left="668" w:right="188"/>
              <w:jc w:val="center"/>
              <w:rPr>
                <w:sz w:val="18"/>
              </w:rPr>
            </w:pPr>
            <w:r>
              <w:rPr>
                <w:sz w:val="18"/>
              </w:rPr>
              <w:t>3.4%</w:t>
            </w:r>
          </w:p>
        </w:tc>
      </w:tr>
    </w:tbl>
    <w:p w14:paraId="40CA7773" w14:textId="77777777" w:rsidR="00F5166D" w:rsidRDefault="00F5166D">
      <w:pPr>
        <w:spacing w:line="209" w:lineRule="exact"/>
        <w:jc w:val="center"/>
        <w:rPr>
          <w:sz w:val="18"/>
        </w:rPr>
        <w:sectPr w:rsidR="00F5166D">
          <w:pgSz w:w="11910" w:h="16840"/>
          <w:pgMar w:top="1400" w:right="580" w:bottom="280" w:left="600" w:header="1109" w:footer="0" w:gutter="0"/>
          <w:cols w:space="720"/>
        </w:sectPr>
      </w:pPr>
    </w:p>
    <w:p w14:paraId="32554F1E" w14:textId="77777777" w:rsidR="00F5166D" w:rsidRDefault="00F5166D">
      <w:pPr>
        <w:pStyle w:val="a3"/>
      </w:pPr>
    </w:p>
    <w:p w14:paraId="0DC911A9" w14:textId="77777777" w:rsidR="00F5166D" w:rsidRDefault="00F5166D">
      <w:pPr>
        <w:pStyle w:val="a3"/>
        <w:spacing w:before="11"/>
        <w:rPr>
          <w:sz w:val="19"/>
        </w:rPr>
      </w:pPr>
    </w:p>
    <w:p w14:paraId="75B7391D" w14:textId="77777777" w:rsidR="00F5166D" w:rsidRDefault="00623797">
      <w:pPr>
        <w:ind w:left="2721"/>
        <w:rPr>
          <w:rFonts w:ascii="Palatino Linotype"/>
          <w:i/>
          <w:sz w:val="18"/>
        </w:rPr>
      </w:pPr>
      <w:bookmarkStart w:id="15" w:name="_bookmark2"/>
      <w:bookmarkEnd w:id="15"/>
      <w:r>
        <w:rPr>
          <w:b/>
          <w:spacing w:val="-1"/>
          <w:sz w:val="18"/>
        </w:rPr>
        <w:t xml:space="preserve">Πίνακας 2. </w:t>
      </w:r>
      <w:r>
        <w:rPr>
          <w:rFonts w:ascii="Palatino Linotype"/>
          <w:i/>
          <w:sz w:val="18"/>
        </w:rPr>
        <w:t>Συνέχεια</w:t>
      </w:r>
      <w:r>
        <w:rPr>
          <w:rFonts w:ascii="Palatino Linotype"/>
          <w:i/>
          <w:sz w:val="18"/>
        </w:rPr>
        <w:t>.</w:t>
      </w:r>
    </w:p>
    <w:p w14:paraId="1116FAA2" w14:textId="77777777" w:rsidR="00F5166D" w:rsidRDefault="00F5166D">
      <w:pPr>
        <w:pStyle w:val="a3"/>
        <w:spacing w:before="2"/>
        <w:rPr>
          <w:rFonts w:ascii="Palatino Linotype"/>
          <w:i/>
          <w:sz w:val="11"/>
        </w:rPr>
      </w:pPr>
    </w:p>
    <w:tbl>
      <w:tblPr>
        <w:tblStyle w:val="TableNormal"/>
        <w:tblW w:w="0" w:type="auto"/>
        <w:tblInd w:w="2735" w:type="dxa"/>
        <w:tblLayout w:type="fixed"/>
        <w:tblLook w:val="01E0" w:firstRow="1" w:lastRow="1" w:firstColumn="1" w:lastColumn="1" w:noHBand="0" w:noVBand="0"/>
      </w:tblPr>
      <w:tblGrid>
        <w:gridCol w:w="6199"/>
        <w:gridCol w:w="1658"/>
      </w:tblGrid>
      <w:tr w:rsidR="00F5166D" w14:paraId="141F4497" w14:textId="77777777">
        <w:trPr>
          <w:trHeight w:val="524"/>
        </w:trPr>
        <w:tc>
          <w:tcPr>
            <w:tcW w:w="6199" w:type="dxa"/>
            <w:tcBorders>
              <w:top w:val="single" w:sz="8" w:space="0" w:color="000000"/>
              <w:bottom w:val="single" w:sz="4" w:space="0" w:color="000000"/>
            </w:tcBorders>
          </w:tcPr>
          <w:p w14:paraId="3999DE50" w14:textId="77777777" w:rsidR="00F5166D" w:rsidRDefault="00F5166D">
            <w:pPr>
              <w:pStyle w:val="TableParagraph"/>
              <w:jc w:val="left"/>
              <w:rPr>
                <w:rFonts w:ascii="Times New Roman"/>
                <w:sz w:val="18"/>
              </w:rPr>
            </w:pPr>
          </w:p>
        </w:tc>
        <w:tc>
          <w:tcPr>
            <w:tcW w:w="1658" w:type="dxa"/>
            <w:tcBorders>
              <w:top w:val="single" w:sz="8" w:space="0" w:color="000000"/>
              <w:bottom w:val="single" w:sz="4" w:space="0" w:color="000000"/>
            </w:tcBorders>
          </w:tcPr>
          <w:p w14:paraId="5EF26526" w14:textId="77777777" w:rsidR="00F5166D" w:rsidRDefault="00623797">
            <w:pPr>
              <w:pStyle w:val="TableParagraph"/>
              <w:spacing w:before="36" w:line="249" w:lineRule="auto"/>
              <w:ind w:left="697" w:right="221" w:firstLine="186"/>
              <w:jc w:val="left"/>
              <w:rPr>
                <w:b/>
                <w:sz w:val="18"/>
              </w:rPr>
            </w:pPr>
            <w:r>
              <w:rPr>
                <w:b/>
                <w:sz w:val="18"/>
              </w:rPr>
              <w:t xml:space="preserve">SLD </w:t>
            </w:r>
            <w:r>
              <w:rPr>
                <w:b/>
                <w:w w:val="95"/>
                <w:sz w:val="18"/>
              </w:rPr>
              <w:t>(Ν = 175)</w:t>
            </w:r>
          </w:p>
        </w:tc>
      </w:tr>
      <w:tr w:rsidR="00F5166D" w14:paraId="37C28851" w14:textId="77777777">
        <w:trPr>
          <w:trHeight w:val="257"/>
        </w:trPr>
        <w:tc>
          <w:tcPr>
            <w:tcW w:w="6199" w:type="dxa"/>
            <w:tcBorders>
              <w:top w:val="single" w:sz="4" w:space="0" w:color="000000"/>
            </w:tcBorders>
          </w:tcPr>
          <w:p w14:paraId="0E9709E8" w14:textId="77777777" w:rsidR="00F5166D" w:rsidRDefault="00623797">
            <w:pPr>
              <w:pStyle w:val="TableParagraph"/>
              <w:tabs>
                <w:tab w:val="left" w:pos="4161"/>
              </w:tabs>
              <w:spacing w:before="40" w:line="197" w:lineRule="exact"/>
              <w:ind w:right="704"/>
              <w:rPr>
                <w:sz w:val="18"/>
              </w:rPr>
            </w:pPr>
            <w:r>
              <w:rPr>
                <w:w w:val="105"/>
                <w:sz w:val="18"/>
              </w:rPr>
              <w:t>Μεταφωνικές δεξιότητες</w:t>
            </w:r>
            <w:r>
              <w:rPr>
                <w:w w:val="105"/>
                <w:sz w:val="18"/>
              </w:rPr>
              <w:tab/>
            </w:r>
            <w:r>
              <w:rPr>
                <w:w w:val="105"/>
                <w:position w:val="10"/>
                <w:sz w:val="18"/>
              </w:rPr>
              <w:t>Όχι</w:t>
            </w:r>
          </w:p>
        </w:tc>
        <w:tc>
          <w:tcPr>
            <w:tcW w:w="1658" w:type="dxa"/>
            <w:tcBorders>
              <w:top w:val="single" w:sz="4" w:space="0" w:color="000000"/>
            </w:tcBorders>
          </w:tcPr>
          <w:p w14:paraId="5363D3D6" w14:textId="77777777" w:rsidR="00F5166D" w:rsidRDefault="00623797">
            <w:pPr>
              <w:pStyle w:val="TableParagraph"/>
              <w:spacing w:before="36" w:line="201" w:lineRule="exact"/>
              <w:ind w:right="354"/>
              <w:rPr>
                <w:sz w:val="18"/>
              </w:rPr>
            </w:pPr>
            <w:r>
              <w:rPr>
                <w:sz w:val="18"/>
              </w:rPr>
              <w:t>93.1%</w:t>
            </w:r>
          </w:p>
        </w:tc>
      </w:tr>
      <w:tr w:rsidR="00F5166D" w14:paraId="787694BA" w14:textId="77777777">
        <w:trPr>
          <w:trHeight w:val="266"/>
        </w:trPr>
        <w:tc>
          <w:tcPr>
            <w:tcW w:w="6199" w:type="dxa"/>
            <w:tcBorders>
              <w:bottom w:val="single" w:sz="4" w:space="0" w:color="000000"/>
            </w:tcBorders>
          </w:tcPr>
          <w:p w14:paraId="3CF46185"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064DF9D8" w14:textId="77777777" w:rsidR="00F5166D" w:rsidRDefault="00623797">
            <w:pPr>
              <w:pStyle w:val="TableParagraph"/>
              <w:spacing w:line="209" w:lineRule="exact"/>
              <w:ind w:right="399"/>
              <w:rPr>
                <w:sz w:val="18"/>
              </w:rPr>
            </w:pPr>
            <w:r>
              <w:rPr>
                <w:sz w:val="18"/>
              </w:rPr>
              <w:t>6.9%</w:t>
            </w:r>
          </w:p>
        </w:tc>
      </w:tr>
      <w:tr w:rsidR="00F5166D" w14:paraId="3A405374" w14:textId="77777777">
        <w:trPr>
          <w:trHeight w:val="257"/>
        </w:trPr>
        <w:tc>
          <w:tcPr>
            <w:tcW w:w="6199" w:type="dxa"/>
            <w:tcBorders>
              <w:top w:val="single" w:sz="4" w:space="0" w:color="000000"/>
            </w:tcBorders>
          </w:tcPr>
          <w:p w14:paraId="7834ABC9" w14:textId="77777777" w:rsidR="00F5166D" w:rsidRDefault="00623797">
            <w:pPr>
              <w:pStyle w:val="TableParagraph"/>
              <w:tabs>
                <w:tab w:val="left" w:pos="4331"/>
              </w:tabs>
              <w:spacing w:before="40" w:line="197" w:lineRule="exact"/>
              <w:ind w:right="704"/>
              <w:rPr>
                <w:sz w:val="18"/>
              </w:rPr>
            </w:pPr>
            <w:r>
              <w:rPr>
                <w:w w:val="105"/>
                <w:sz w:val="18"/>
              </w:rPr>
              <w:t>Τεχνικές λεξικών συμπερασμάτων</w:t>
            </w:r>
            <w:r>
              <w:rPr>
                <w:w w:val="105"/>
                <w:sz w:val="18"/>
              </w:rPr>
              <w:tab/>
            </w:r>
            <w:r>
              <w:rPr>
                <w:w w:val="105"/>
                <w:position w:val="10"/>
                <w:sz w:val="18"/>
              </w:rPr>
              <w:t>Όχι</w:t>
            </w:r>
          </w:p>
        </w:tc>
        <w:tc>
          <w:tcPr>
            <w:tcW w:w="1658" w:type="dxa"/>
            <w:tcBorders>
              <w:top w:val="single" w:sz="4" w:space="0" w:color="000000"/>
            </w:tcBorders>
          </w:tcPr>
          <w:p w14:paraId="17AF46EB" w14:textId="77777777" w:rsidR="00F5166D" w:rsidRDefault="00623797">
            <w:pPr>
              <w:pStyle w:val="TableParagraph"/>
              <w:spacing w:before="36" w:line="201" w:lineRule="exact"/>
              <w:ind w:right="354"/>
              <w:rPr>
                <w:sz w:val="18"/>
              </w:rPr>
            </w:pPr>
            <w:r>
              <w:rPr>
                <w:sz w:val="18"/>
              </w:rPr>
              <w:t>94.9%</w:t>
            </w:r>
          </w:p>
        </w:tc>
      </w:tr>
      <w:tr w:rsidR="00F5166D" w14:paraId="383CF13D" w14:textId="77777777">
        <w:trPr>
          <w:trHeight w:val="266"/>
        </w:trPr>
        <w:tc>
          <w:tcPr>
            <w:tcW w:w="6199" w:type="dxa"/>
            <w:tcBorders>
              <w:bottom w:val="single" w:sz="4" w:space="0" w:color="000000"/>
            </w:tcBorders>
          </w:tcPr>
          <w:p w14:paraId="50CE57D1"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170BBC21" w14:textId="77777777" w:rsidR="00F5166D" w:rsidRDefault="00623797">
            <w:pPr>
              <w:pStyle w:val="TableParagraph"/>
              <w:spacing w:line="209" w:lineRule="exact"/>
              <w:ind w:right="399"/>
              <w:rPr>
                <w:sz w:val="18"/>
              </w:rPr>
            </w:pPr>
            <w:r>
              <w:rPr>
                <w:sz w:val="18"/>
              </w:rPr>
              <w:t>5.1%</w:t>
            </w:r>
          </w:p>
        </w:tc>
      </w:tr>
      <w:tr w:rsidR="00F5166D" w14:paraId="1B32FA52" w14:textId="77777777">
        <w:trPr>
          <w:trHeight w:val="257"/>
        </w:trPr>
        <w:tc>
          <w:tcPr>
            <w:tcW w:w="6199" w:type="dxa"/>
            <w:tcBorders>
              <w:top w:val="single" w:sz="4" w:space="0" w:color="000000"/>
            </w:tcBorders>
          </w:tcPr>
          <w:p w14:paraId="14FF944B" w14:textId="77777777" w:rsidR="00F5166D" w:rsidRDefault="00623797">
            <w:pPr>
              <w:pStyle w:val="TableParagraph"/>
              <w:tabs>
                <w:tab w:val="left" w:pos="4586"/>
              </w:tabs>
              <w:spacing w:before="40" w:line="197" w:lineRule="exact"/>
              <w:ind w:right="704"/>
              <w:rPr>
                <w:sz w:val="18"/>
              </w:rPr>
            </w:pPr>
            <w:r>
              <w:rPr>
                <w:w w:val="105"/>
                <w:sz w:val="18"/>
              </w:rPr>
              <w:t>Μετατροπή γραφημάτων-φωνημάτων</w:t>
            </w:r>
            <w:r>
              <w:rPr>
                <w:w w:val="105"/>
                <w:sz w:val="18"/>
              </w:rPr>
              <w:tab/>
            </w:r>
            <w:r>
              <w:rPr>
                <w:w w:val="105"/>
                <w:position w:val="10"/>
                <w:sz w:val="18"/>
              </w:rPr>
              <w:t>Όχι</w:t>
            </w:r>
          </w:p>
        </w:tc>
        <w:tc>
          <w:tcPr>
            <w:tcW w:w="1658" w:type="dxa"/>
            <w:tcBorders>
              <w:top w:val="single" w:sz="4" w:space="0" w:color="000000"/>
            </w:tcBorders>
          </w:tcPr>
          <w:p w14:paraId="2BE8C0A3" w14:textId="77777777" w:rsidR="00F5166D" w:rsidRDefault="00623797">
            <w:pPr>
              <w:pStyle w:val="TableParagraph"/>
              <w:spacing w:before="36" w:line="201" w:lineRule="exact"/>
              <w:ind w:right="354"/>
              <w:rPr>
                <w:sz w:val="18"/>
              </w:rPr>
            </w:pPr>
            <w:r>
              <w:rPr>
                <w:sz w:val="18"/>
              </w:rPr>
              <w:t>94.9%</w:t>
            </w:r>
          </w:p>
        </w:tc>
      </w:tr>
      <w:tr w:rsidR="00F5166D" w14:paraId="038C0C68" w14:textId="77777777">
        <w:trPr>
          <w:trHeight w:val="266"/>
        </w:trPr>
        <w:tc>
          <w:tcPr>
            <w:tcW w:w="6199" w:type="dxa"/>
            <w:tcBorders>
              <w:bottom w:val="single" w:sz="4" w:space="0" w:color="000000"/>
            </w:tcBorders>
          </w:tcPr>
          <w:p w14:paraId="0DB9CBBF"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2BCA1B74" w14:textId="77777777" w:rsidR="00F5166D" w:rsidRDefault="00623797">
            <w:pPr>
              <w:pStyle w:val="TableParagraph"/>
              <w:spacing w:line="209" w:lineRule="exact"/>
              <w:ind w:right="399"/>
              <w:rPr>
                <w:sz w:val="18"/>
              </w:rPr>
            </w:pPr>
            <w:r>
              <w:rPr>
                <w:sz w:val="18"/>
              </w:rPr>
              <w:t>5.1%</w:t>
            </w:r>
          </w:p>
        </w:tc>
      </w:tr>
      <w:tr w:rsidR="00F5166D" w14:paraId="60087E5A" w14:textId="77777777">
        <w:trPr>
          <w:trHeight w:val="257"/>
        </w:trPr>
        <w:tc>
          <w:tcPr>
            <w:tcW w:w="6199" w:type="dxa"/>
            <w:tcBorders>
              <w:top w:val="single" w:sz="4" w:space="0" w:color="000000"/>
            </w:tcBorders>
          </w:tcPr>
          <w:p w14:paraId="2EC4AE66" w14:textId="77777777" w:rsidR="00F5166D" w:rsidRPr="00D11C54" w:rsidRDefault="00623797">
            <w:pPr>
              <w:pStyle w:val="TableParagraph"/>
              <w:tabs>
                <w:tab w:val="left" w:pos="4602"/>
              </w:tabs>
              <w:spacing w:before="40" w:line="197" w:lineRule="exact"/>
              <w:ind w:right="704"/>
              <w:rPr>
                <w:sz w:val="18"/>
                <w:lang w:val="el-GR"/>
              </w:rPr>
            </w:pPr>
            <w:r w:rsidRPr="00D11C54">
              <w:rPr>
                <w:w w:val="105"/>
                <w:sz w:val="18"/>
                <w:lang w:val="el-GR"/>
              </w:rPr>
              <w:t>Ορθογραφία και μετατροπή προφορικών συμβολοσειρών</w:t>
            </w:r>
            <w:r w:rsidRPr="00D11C54">
              <w:rPr>
                <w:w w:val="105"/>
                <w:sz w:val="18"/>
                <w:lang w:val="el-GR"/>
              </w:rPr>
              <w:tab/>
            </w:r>
            <w:r w:rsidRPr="00D11C54">
              <w:rPr>
                <w:w w:val="105"/>
                <w:position w:val="10"/>
                <w:sz w:val="18"/>
                <w:lang w:val="el-GR"/>
              </w:rPr>
              <w:t>Όχι</w:t>
            </w:r>
          </w:p>
        </w:tc>
        <w:tc>
          <w:tcPr>
            <w:tcW w:w="1658" w:type="dxa"/>
            <w:tcBorders>
              <w:top w:val="single" w:sz="4" w:space="0" w:color="000000"/>
            </w:tcBorders>
          </w:tcPr>
          <w:p w14:paraId="4A6356DF" w14:textId="77777777" w:rsidR="00F5166D" w:rsidRDefault="00623797">
            <w:pPr>
              <w:pStyle w:val="TableParagraph"/>
              <w:spacing w:before="36" w:line="201" w:lineRule="exact"/>
              <w:ind w:right="354"/>
              <w:rPr>
                <w:sz w:val="18"/>
              </w:rPr>
            </w:pPr>
            <w:r>
              <w:rPr>
                <w:sz w:val="18"/>
              </w:rPr>
              <w:t>96.6%</w:t>
            </w:r>
          </w:p>
        </w:tc>
      </w:tr>
      <w:tr w:rsidR="00F5166D" w14:paraId="285D4DB2" w14:textId="77777777">
        <w:trPr>
          <w:trHeight w:val="266"/>
        </w:trPr>
        <w:tc>
          <w:tcPr>
            <w:tcW w:w="6199" w:type="dxa"/>
            <w:tcBorders>
              <w:bottom w:val="single" w:sz="4" w:space="0" w:color="000000"/>
            </w:tcBorders>
          </w:tcPr>
          <w:p w14:paraId="40E43EA1"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0F436A9A" w14:textId="77777777" w:rsidR="00F5166D" w:rsidRDefault="00623797">
            <w:pPr>
              <w:pStyle w:val="TableParagraph"/>
              <w:spacing w:line="209" w:lineRule="exact"/>
              <w:ind w:right="399"/>
              <w:rPr>
                <w:sz w:val="18"/>
              </w:rPr>
            </w:pPr>
            <w:r>
              <w:rPr>
                <w:sz w:val="18"/>
              </w:rPr>
              <w:t>3.4%</w:t>
            </w:r>
          </w:p>
        </w:tc>
      </w:tr>
      <w:tr w:rsidR="00F5166D" w14:paraId="515DE644" w14:textId="77777777">
        <w:trPr>
          <w:trHeight w:val="257"/>
        </w:trPr>
        <w:tc>
          <w:tcPr>
            <w:tcW w:w="6199" w:type="dxa"/>
            <w:tcBorders>
              <w:top w:val="single" w:sz="4" w:space="0" w:color="000000"/>
            </w:tcBorders>
          </w:tcPr>
          <w:p w14:paraId="1E7A5E89" w14:textId="77777777" w:rsidR="00F5166D" w:rsidRPr="00D11C54" w:rsidRDefault="00623797">
            <w:pPr>
              <w:pStyle w:val="TableParagraph"/>
              <w:tabs>
                <w:tab w:val="left" w:pos="4640"/>
              </w:tabs>
              <w:spacing w:before="40" w:line="197" w:lineRule="exact"/>
              <w:ind w:right="704"/>
              <w:rPr>
                <w:sz w:val="18"/>
                <w:lang w:val="el-GR"/>
              </w:rPr>
            </w:pPr>
            <w:r w:rsidRPr="00D11C54">
              <w:rPr>
                <w:w w:val="105"/>
                <w:sz w:val="18"/>
                <w:lang w:val="el-GR"/>
              </w:rPr>
              <w:t>Επαναλαμβανόμενες αναγνώσεις με διευκολύνσεις</w:t>
            </w:r>
            <w:r w:rsidRPr="00D11C54">
              <w:rPr>
                <w:w w:val="105"/>
                <w:sz w:val="18"/>
                <w:lang w:val="el-GR"/>
              </w:rPr>
              <w:tab/>
            </w:r>
            <w:r w:rsidRPr="00D11C54">
              <w:rPr>
                <w:w w:val="105"/>
                <w:position w:val="10"/>
                <w:sz w:val="18"/>
                <w:lang w:val="el-GR"/>
              </w:rPr>
              <w:t>Όχι</w:t>
            </w:r>
          </w:p>
        </w:tc>
        <w:tc>
          <w:tcPr>
            <w:tcW w:w="1658" w:type="dxa"/>
            <w:tcBorders>
              <w:top w:val="single" w:sz="4" w:space="0" w:color="000000"/>
            </w:tcBorders>
          </w:tcPr>
          <w:p w14:paraId="57898270" w14:textId="77777777" w:rsidR="00F5166D" w:rsidRDefault="00623797">
            <w:pPr>
              <w:pStyle w:val="TableParagraph"/>
              <w:spacing w:before="36" w:line="201" w:lineRule="exact"/>
              <w:ind w:right="354"/>
              <w:rPr>
                <w:sz w:val="18"/>
              </w:rPr>
            </w:pPr>
            <w:r>
              <w:rPr>
                <w:sz w:val="18"/>
              </w:rPr>
              <w:t>94.9%</w:t>
            </w:r>
          </w:p>
        </w:tc>
      </w:tr>
      <w:tr w:rsidR="00F5166D" w14:paraId="0551BC9A" w14:textId="77777777">
        <w:trPr>
          <w:trHeight w:val="266"/>
        </w:trPr>
        <w:tc>
          <w:tcPr>
            <w:tcW w:w="6199" w:type="dxa"/>
            <w:tcBorders>
              <w:bottom w:val="single" w:sz="4" w:space="0" w:color="000000"/>
            </w:tcBorders>
          </w:tcPr>
          <w:p w14:paraId="1A57A7E8"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2FD123A8" w14:textId="77777777" w:rsidR="00F5166D" w:rsidRDefault="00623797">
            <w:pPr>
              <w:pStyle w:val="TableParagraph"/>
              <w:spacing w:line="209" w:lineRule="exact"/>
              <w:ind w:right="399"/>
              <w:rPr>
                <w:sz w:val="18"/>
              </w:rPr>
            </w:pPr>
            <w:r>
              <w:rPr>
                <w:sz w:val="18"/>
              </w:rPr>
              <w:t>5.1%</w:t>
            </w:r>
          </w:p>
        </w:tc>
      </w:tr>
      <w:tr w:rsidR="00F5166D" w14:paraId="07D7D583" w14:textId="77777777">
        <w:trPr>
          <w:trHeight w:val="257"/>
        </w:trPr>
        <w:tc>
          <w:tcPr>
            <w:tcW w:w="6199" w:type="dxa"/>
            <w:tcBorders>
              <w:top w:val="single" w:sz="4" w:space="0" w:color="000000"/>
            </w:tcBorders>
          </w:tcPr>
          <w:p w14:paraId="2BBD07E2" w14:textId="77777777" w:rsidR="00F5166D" w:rsidRDefault="00623797">
            <w:pPr>
              <w:pStyle w:val="TableParagraph"/>
              <w:tabs>
                <w:tab w:val="left" w:pos="4412"/>
              </w:tabs>
              <w:spacing w:before="40" w:line="197" w:lineRule="exact"/>
              <w:ind w:right="704"/>
              <w:rPr>
                <w:sz w:val="18"/>
              </w:rPr>
            </w:pPr>
            <w:r>
              <w:rPr>
                <w:sz w:val="18"/>
              </w:rPr>
              <w:t>Τεχνικές σημασιολογικών συμπερασμάτων</w:t>
            </w:r>
            <w:r>
              <w:rPr>
                <w:sz w:val="18"/>
              </w:rPr>
              <w:tab/>
            </w:r>
            <w:r>
              <w:rPr>
                <w:w w:val="105"/>
                <w:position w:val="10"/>
                <w:sz w:val="18"/>
              </w:rPr>
              <w:t>Όχι</w:t>
            </w:r>
          </w:p>
        </w:tc>
        <w:tc>
          <w:tcPr>
            <w:tcW w:w="1658" w:type="dxa"/>
            <w:tcBorders>
              <w:top w:val="single" w:sz="4" w:space="0" w:color="000000"/>
            </w:tcBorders>
          </w:tcPr>
          <w:p w14:paraId="0DE43BD3" w14:textId="77777777" w:rsidR="00F5166D" w:rsidRDefault="00623797">
            <w:pPr>
              <w:pStyle w:val="TableParagraph"/>
              <w:spacing w:before="36" w:line="201" w:lineRule="exact"/>
              <w:ind w:right="354"/>
              <w:rPr>
                <w:sz w:val="18"/>
              </w:rPr>
            </w:pPr>
            <w:r>
              <w:rPr>
                <w:sz w:val="18"/>
              </w:rPr>
              <w:t>96.6%</w:t>
            </w:r>
          </w:p>
        </w:tc>
      </w:tr>
      <w:tr w:rsidR="00F5166D" w14:paraId="478E0079" w14:textId="77777777">
        <w:trPr>
          <w:trHeight w:val="266"/>
        </w:trPr>
        <w:tc>
          <w:tcPr>
            <w:tcW w:w="6199" w:type="dxa"/>
            <w:tcBorders>
              <w:bottom w:val="single" w:sz="4" w:space="0" w:color="000000"/>
            </w:tcBorders>
          </w:tcPr>
          <w:p w14:paraId="7E26BD7B"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2F400F0C" w14:textId="77777777" w:rsidR="00F5166D" w:rsidRDefault="00623797">
            <w:pPr>
              <w:pStyle w:val="TableParagraph"/>
              <w:spacing w:line="209" w:lineRule="exact"/>
              <w:ind w:right="399"/>
              <w:rPr>
                <w:sz w:val="18"/>
              </w:rPr>
            </w:pPr>
            <w:r>
              <w:rPr>
                <w:sz w:val="18"/>
              </w:rPr>
              <w:t>3.4%</w:t>
            </w:r>
          </w:p>
        </w:tc>
      </w:tr>
      <w:tr w:rsidR="00F5166D" w14:paraId="284D2EAF" w14:textId="77777777">
        <w:trPr>
          <w:trHeight w:val="257"/>
        </w:trPr>
        <w:tc>
          <w:tcPr>
            <w:tcW w:w="6199" w:type="dxa"/>
            <w:tcBorders>
              <w:top w:val="single" w:sz="4" w:space="0" w:color="000000"/>
            </w:tcBorders>
          </w:tcPr>
          <w:p w14:paraId="2DB4F5E1" w14:textId="77777777" w:rsidR="00F5166D" w:rsidRDefault="00623797">
            <w:pPr>
              <w:pStyle w:val="TableParagraph"/>
              <w:tabs>
                <w:tab w:val="left" w:pos="4598"/>
              </w:tabs>
              <w:spacing w:before="34" w:line="204" w:lineRule="exact"/>
              <w:ind w:right="704"/>
              <w:rPr>
                <w:sz w:val="18"/>
              </w:rPr>
            </w:pPr>
            <w:r>
              <w:rPr>
                <w:w w:val="105"/>
                <w:sz w:val="18"/>
              </w:rPr>
              <w:t>Παρεμβάσεις λεξικής ενίσχυσης</w:t>
            </w:r>
            <w:r>
              <w:rPr>
                <w:w w:val="105"/>
                <w:sz w:val="18"/>
              </w:rPr>
              <w:tab/>
            </w:r>
            <w:r>
              <w:rPr>
                <w:w w:val="105"/>
                <w:position w:val="13"/>
                <w:sz w:val="18"/>
              </w:rPr>
              <w:t>Όχι</w:t>
            </w:r>
          </w:p>
        </w:tc>
        <w:tc>
          <w:tcPr>
            <w:tcW w:w="1658" w:type="dxa"/>
            <w:tcBorders>
              <w:top w:val="single" w:sz="4" w:space="0" w:color="000000"/>
            </w:tcBorders>
          </w:tcPr>
          <w:p w14:paraId="12497D00" w14:textId="77777777" w:rsidR="00F5166D" w:rsidRDefault="00623797">
            <w:pPr>
              <w:pStyle w:val="TableParagraph"/>
              <w:spacing w:before="36" w:line="201" w:lineRule="exact"/>
              <w:ind w:right="354"/>
              <w:rPr>
                <w:sz w:val="18"/>
              </w:rPr>
            </w:pPr>
            <w:r>
              <w:rPr>
                <w:sz w:val="18"/>
              </w:rPr>
              <w:t>94.9%</w:t>
            </w:r>
          </w:p>
        </w:tc>
      </w:tr>
      <w:tr w:rsidR="00F5166D" w14:paraId="2FEC3B42" w14:textId="77777777">
        <w:trPr>
          <w:trHeight w:val="266"/>
        </w:trPr>
        <w:tc>
          <w:tcPr>
            <w:tcW w:w="6199" w:type="dxa"/>
            <w:tcBorders>
              <w:bottom w:val="single" w:sz="4" w:space="0" w:color="000000"/>
            </w:tcBorders>
          </w:tcPr>
          <w:p w14:paraId="3404C691"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36427E18" w14:textId="77777777" w:rsidR="00F5166D" w:rsidRDefault="00623797">
            <w:pPr>
              <w:pStyle w:val="TableParagraph"/>
              <w:spacing w:line="209" w:lineRule="exact"/>
              <w:ind w:right="399"/>
              <w:rPr>
                <w:sz w:val="18"/>
              </w:rPr>
            </w:pPr>
            <w:r>
              <w:rPr>
                <w:sz w:val="18"/>
              </w:rPr>
              <w:t>5.1%</w:t>
            </w:r>
          </w:p>
        </w:tc>
      </w:tr>
      <w:tr w:rsidR="00F5166D" w14:paraId="1A9255B2" w14:textId="77777777">
        <w:trPr>
          <w:trHeight w:val="257"/>
        </w:trPr>
        <w:tc>
          <w:tcPr>
            <w:tcW w:w="6199" w:type="dxa"/>
            <w:tcBorders>
              <w:top w:val="single" w:sz="4" w:space="0" w:color="000000"/>
            </w:tcBorders>
          </w:tcPr>
          <w:p w14:paraId="14AA12F8" w14:textId="77777777" w:rsidR="00F5166D" w:rsidRDefault="00623797">
            <w:pPr>
              <w:pStyle w:val="TableParagraph"/>
              <w:tabs>
                <w:tab w:val="left" w:pos="4182"/>
              </w:tabs>
              <w:spacing w:before="37" w:line="200" w:lineRule="exact"/>
              <w:ind w:right="704"/>
              <w:rPr>
                <w:sz w:val="18"/>
              </w:rPr>
            </w:pPr>
            <w:r>
              <w:rPr>
                <w:w w:val="105"/>
                <w:sz w:val="18"/>
              </w:rPr>
              <w:t>Μεταγνωστικές στρατηγικές</w:t>
            </w:r>
            <w:r>
              <w:rPr>
                <w:w w:val="105"/>
                <w:sz w:val="18"/>
              </w:rPr>
              <w:tab/>
            </w:r>
            <w:r>
              <w:rPr>
                <w:w w:val="105"/>
                <w:position w:val="10"/>
                <w:sz w:val="18"/>
              </w:rPr>
              <w:t>Όχι</w:t>
            </w:r>
          </w:p>
        </w:tc>
        <w:tc>
          <w:tcPr>
            <w:tcW w:w="1658" w:type="dxa"/>
            <w:tcBorders>
              <w:top w:val="single" w:sz="4" w:space="0" w:color="000000"/>
            </w:tcBorders>
          </w:tcPr>
          <w:p w14:paraId="5BA66C37" w14:textId="77777777" w:rsidR="00F5166D" w:rsidRDefault="00623797">
            <w:pPr>
              <w:pStyle w:val="TableParagraph"/>
              <w:spacing w:before="36" w:line="201" w:lineRule="exact"/>
              <w:ind w:right="354"/>
              <w:rPr>
                <w:sz w:val="18"/>
              </w:rPr>
            </w:pPr>
            <w:r>
              <w:rPr>
                <w:sz w:val="18"/>
              </w:rPr>
              <w:t>94.3%</w:t>
            </w:r>
          </w:p>
        </w:tc>
      </w:tr>
      <w:tr w:rsidR="00F5166D" w14:paraId="6D0EC3EB" w14:textId="77777777">
        <w:trPr>
          <w:trHeight w:val="266"/>
        </w:trPr>
        <w:tc>
          <w:tcPr>
            <w:tcW w:w="6199" w:type="dxa"/>
            <w:tcBorders>
              <w:bottom w:val="single" w:sz="4" w:space="0" w:color="000000"/>
            </w:tcBorders>
          </w:tcPr>
          <w:p w14:paraId="7AEE4DB9"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4" w:space="0" w:color="000000"/>
            </w:tcBorders>
          </w:tcPr>
          <w:p w14:paraId="2328BE06" w14:textId="77777777" w:rsidR="00F5166D" w:rsidRDefault="00623797">
            <w:pPr>
              <w:pStyle w:val="TableParagraph"/>
              <w:spacing w:line="209" w:lineRule="exact"/>
              <w:ind w:right="399"/>
              <w:rPr>
                <w:sz w:val="18"/>
              </w:rPr>
            </w:pPr>
            <w:r>
              <w:rPr>
                <w:sz w:val="18"/>
              </w:rPr>
              <w:t>5.7%</w:t>
            </w:r>
          </w:p>
        </w:tc>
      </w:tr>
      <w:tr w:rsidR="00F5166D" w14:paraId="17F6FBC4" w14:textId="77777777">
        <w:trPr>
          <w:trHeight w:val="257"/>
        </w:trPr>
        <w:tc>
          <w:tcPr>
            <w:tcW w:w="6199" w:type="dxa"/>
            <w:tcBorders>
              <w:top w:val="single" w:sz="4" w:space="0" w:color="000000"/>
            </w:tcBorders>
          </w:tcPr>
          <w:p w14:paraId="6A7F031B" w14:textId="77777777" w:rsidR="00F5166D" w:rsidRDefault="00623797">
            <w:pPr>
              <w:pStyle w:val="TableParagraph"/>
              <w:tabs>
                <w:tab w:val="left" w:pos="3803"/>
              </w:tabs>
              <w:spacing w:before="40" w:line="197" w:lineRule="exact"/>
              <w:ind w:right="704"/>
              <w:rPr>
                <w:sz w:val="18"/>
              </w:rPr>
            </w:pPr>
            <w:r>
              <w:rPr>
                <w:w w:val="105"/>
                <w:sz w:val="18"/>
              </w:rPr>
              <w:t>Ψυχοθεραπεία</w:t>
            </w:r>
            <w:r>
              <w:rPr>
                <w:w w:val="105"/>
                <w:sz w:val="18"/>
              </w:rPr>
              <w:tab/>
            </w:r>
            <w:r>
              <w:rPr>
                <w:w w:val="105"/>
                <w:position w:val="10"/>
                <w:sz w:val="18"/>
              </w:rPr>
              <w:t>Όχι</w:t>
            </w:r>
          </w:p>
        </w:tc>
        <w:tc>
          <w:tcPr>
            <w:tcW w:w="1658" w:type="dxa"/>
            <w:tcBorders>
              <w:top w:val="single" w:sz="4" w:space="0" w:color="000000"/>
            </w:tcBorders>
          </w:tcPr>
          <w:p w14:paraId="25A72303" w14:textId="77777777" w:rsidR="00F5166D" w:rsidRDefault="00623797">
            <w:pPr>
              <w:pStyle w:val="TableParagraph"/>
              <w:spacing w:before="36" w:line="201" w:lineRule="exact"/>
              <w:ind w:right="354"/>
              <w:rPr>
                <w:sz w:val="18"/>
              </w:rPr>
            </w:pPr>
            <w:r>
              <w:rPr>
                <w:sz w:val="18"/>
              </w:rPr>
              <w:t>89.1%</w:t>
            </w:r>
          </w:p>
        </w:tc>
      </w:tr>
      <w:tr w:rsidR="00F5166D" w14:paraId="46BE1926" w14:textId="77777777">
        <w:trPr>
          <w:trHeight w:val="266"/>
        </w:trPr>
        <w:tc>
          <w:tcPr>
            <w:tcW w:w="6199" w:type="dxa"/>
            <w:tcBorders>
              <w:bottom w:val="single" w:sz="8" w:space="0" w:color="000000"/>
            </w:tcBorders>
          </w:tcPr>
          <w:p w14:paraId="7925413A" w14:textId="77777777" w:rsidR="00F5166D" w:rsidRDefault="00623797">
            <w:pPr>
              <w:pStyle w:val="TableParagraph"/>
              <w:spacing w:line="209" w:lineRule="exact"/>
              <w:ind w:right="695"/>
              <w:rPr>
                <w:sz w:val="18"/>
              </w:rPr>
            </w:pPr>
            <w:r>
              <w:rPr>
                <w:w w:val="105"/>
                <w:sz w:val="18"/>
              </w:rPr>
              <w:t>Ναι</w:t>
            </w:r>
          </w:p>
        </w:tc>
        <w:tc>
          <w:tcPr>
            <w:tcW w:w="1658" w:type="dxa"/>
            <w:tcBorders>
              <w:bottom w:val="single" w:sz="8" w:space="0" w:color="000000"/>
            </w:tcBorders>
          </w:tcPr>
          <w:p w14:paraId="254442A9" w14:textId="77777777" w:rsidR="00F5166D" w:rsidRDefault="00623797">
            <w:pPr>
              <w:pStyle w:val="TableParagraph"/>
              <w:spacing w:line="209" w:lineRule="exact"/>
              <w:ind w:right="354"/>
              <w:rPr>
                <w:sz w:val="18"/>
              </w:rPr>
            </w:pPr>
            <w:r>
              <w:rPr>
                <w:sz w:val="18"/>
              </w:rPr>
              <w:t>10.9%</w:t>
            </w:r>
          </w:p>
        </w:tc>
      </w:tr>
    </w:tbl>
    <w:p w14:paraId="05D792C9" w14:textId="77777777" w:rsidR="00F5166D" w:rsidRDefault="00F5166D">
      <w:pPr>
        <w:pStyle w:val="a3"/>
        <w:spacing w:before="8"/>
        <w:rPr>
          <w:rFonts w:ascii="Palatino Linotype"/>
          <w:i/>
          <w:sz w:val="21"/>
        </w:rPr>
      </w:pPr>
    </w:p>
    <w:p w14:paraId="3A26E38A" w14:textId="77777777" w:rsidR="00F5166D" w:rsidRPr="00D11C54" w:rsidRDefault="00623797">
      <w:pPr>
        <w:pStyle w:val="a3"/>
        <w:spacing w:before="1" w:line="256" w:lineRule="auto"/>
        <w:ind w:left="2727" w:right="104" w:firstLine="425"/>
        <w:jc w:val="both"/>
        <w:rPr>
          <w:lang w:val="el-GR"/>
        </w:rPr>
      </w:pPr>
      <w:r w:rsidRPr="00D11C54">
        <w:rPr>
          <w:lang w:val="el-GR"/>
        </w:rPr>
        <w:t xml:space="preserve">Όσον αφορά την υπόθεση </w:t>
      </w:r>
      <w:r>
        <w:t>H</w:t>
      </w:r>
      <w:r w:rsidRPr="00D11C54">
        <w:rPr>
          <w:lang w:val="el-GR"/>
        </w:rPr>
        <w:t xml:space="preserve">1 (οι έφηβοι με </w:t>
      </w:r>
      <w:r>
        <w:t>SLD</w:t>
      </w:r>
      <w:r w:rsidRPr="00D11C54">
        <w:rPr>
          <w:lang w:val="el-GR"/>
        </w:rPr>
        <w:t xml:space="preserve"> αναφέρουν χαμηλότερη διαπροσωπική προσαρμογή </w:t>
      </w:r>
      <w:r w:rsidRPr="00D11C54">
        <w:rPr>
          <w:w w:val="105"/>
          <w:lang w:val="el-GR"/>
        </w:rPr>
        <w:t xml:space="preserve"> από τους εφήβους χωρίς </w:t>
      </w:r>
      <w:r>
        <w:rPr>
          <w:w w:val="105"/>
        </w:rPr>
        <w:t>SLD</w:t>
      </w:r>
      <w:r w:rsidRPr="00D11C54">
        <w:rPr>
          <w:w w:val="105"/>
          <w:lang w:val="el-GR"/>
        </w:rPr>
        <w:t xml:space="preserve">), ο Πίνακας </w:t>
      </w:r>
      <w:hyperlink w:anchor="_bookmark3" w:history="1">
        <w:r w:rsidRPr="00D11C54">
          <w:rPr>
            <w:color w:val="0774B7"/>
            <w:w w:val="105"/>
            <w:lang w:val="el-GR"/>
          </w:rPr>
          <w:t xml:space="preserve">3 </w:t>
        </w:r>
      </w:hyperlink>
      <w:r w:rsidRPr="00D11C54">
        <w:rPr>
          <w:w w:val="105"/>
          <w:lang w:val="el-GR"/>
        </w:rPr>
        <w:t xml:space="preserve">δείχνει ότι οι μαθητές </w:t>
      </w:r>
      <w:r>
        <w:rPr>
          <w:w w:val="105"/>
        </w:rPr>
        <w:t>SLD</w:t>
      </w:r>
      <w:r w:rsidRPr="00D11C54">
        <w:rPr>
          <w:w w:val="105"/>
          <w:lang w:val="el-GR"/>
        </w:rPr>
        <w:t xml:space="preserve"> παρουσιάζουν όλες τις βαθμολογίες με υψηλότερες τιμές από τους μαθητές με </w:t>
      </w:r>
      <w:r>
        <w:rPr>
          <w:w w:val="105"/>
        </w:rPr>
        <w:t>NO</w:t>
      </w:r>
      <w:r w:rsidRPr="00D11C54">
        <w:rPr>
          <w:w w:val="105"/>
          <w:lang w:val="el-GR"/>
        </w:rPr>
        <w:t>-</w:t>
      </w:r>
      <w:r>
        <w:rPr>
          <w:w w:val="105"/>
        </w:rPr>
        <w:t>SLD</w:t>
      </w:r>
      <w:r w:rsidRPr="00D11C54">
        <w:rPr>
          <w:w w:val="105"/>
          <w:lang w:val="el-GR"/>
        </w:rPr>
        <w:t>. Οι διαφορές είναι σημαντικές, αν και τα μεγέθη των αποτελεσμάτων είναι όλα εξαιρετικά μικρά.</w:t>
      </w:r>
    </w:p>
    <w:p w14:paraId="00F3F9A8" w14:textId="77777777" w:rsidR="00F5166D" w:rsidRPr="00D11C54" w:rsidRDefault="00F5166D">
      <w:pPr>
        <w:pStyle w:val="a3"/>
        <w:spacing w:before="5"/>
        <w:rPr>
          <w:sz w:val="22"/>
          <w:lang w:val="el-GR"/>
        </w:rPr>
      </w:pPr>
    </w:p>
    <w:p w14:paraId="2ABD5150" w14:textId="77777777" w:rsidR="00F5166D" w:rsidRPr="00D11C54" w:rsidRDefault="00623797">
      <w:pPr>
        <w:ind w:left="2721"/>
        <w:rPr>
          <w:sz w:val="18"/>
          <w:lang w:val="el-GR"/>
        </w:rPr>
      </w:pPr>
      <w:bookmarkStart w:id="16" w:name="_bookmark3"/>
      <w:bookmarkEnd w:id="16"/>
      <w:r w:rsidRPr="00D11C54">
        <w:rPr>
          <w:b/>
          <w:sz w:val="18"/>
          <w:lang w:val="el-GR"/>
        </w:rPr>
        <w:t xml:space="preserve">Πίνακας 3. </w:t>
      </w:r>
      <w:r w:rsidRPr="00D11C54">
        <w:rPr>
          <w:sz w:val="18"/>
          <w:lang w:val="el-GR"/>
        </w:rPr>
        <w:t xml:space="preserve">Διαφορές στις βαθμολογίες διαπροσωπικών δεξιοτήτων σε μαθητές με και χωρίς </w:t>
      </w:r>
      <w:r>
        <w:rPr>
          <w:sz w:val="18"/>
        </w:rPr>
        <w:t>SLD</w:t>
      </w:r>
      <w:r w:rsidRPr="00D11C54">
        <w:rPr>
          <w:sz w:val="18"/>
          <w:lang w:val="el-GR"/>
        </w:rPr>
        <w:t>.</w:t>
      </w:r>
    </w:p>
    <w:p w14:paraId="3BE53524" w14:textId="77777777" w:rsidR="00F5166D" w:rsidRPr="00D11C54" w:rsidRDefault="00F5166D">
      <w:pPr>
        <w:pStyle w:val="a3"/>
        <w:spacing w:before="7"/>
        <w:rPr>
          <w:sz w:val="13"/>
          <w:lang w:val="el-GR"/>
        </w:rPr>
      </w:pPr>
    </w:p>
    <w:tbl>
      <w:tblPr>
        <w:tblStyle w:val="TableNormal"/>
        <w:tblW w:w="0" w:type="auto"/>
        <w:tblInd w:w="2735" w:type="dxa"/>
        <w:tblLayout w:type="fixed"/>
        <w:tblLook w:val="01E0" w:firstRow="1" w:lastRow="1" w:firstColumn="1" w:lastColumn="1" w:noHBand="0" w:noVBand="0"/>
      </w:tblPr>
      <w:tblGrid>
        <w:gridCol w:w="1123"/>
        <w:gridCol w:w="1507"/>
        <w:gridCol w:w="739"/>
        <w:gridCol w:w="829"/>
        <w:gridCol w:w="589"/>
        <w:gridCol w:w="829"/>
        <w:gridCol w:w="1173"/>
        <w:gridCol w:w="1074"/>
      </w:tblGrid>
      <w:tr w:rsidR="00F5166D" w14:paraId="00E4247C" w14:textId="77777777">
        <w:trPr>
          <w:trHeight w:val="305"/>
        </w:trPr>
        <w:tc>
          <w:tcPr>
            <w:tcW w:w="2630" w:type="dxa"/>
            <w:gridSpan w:val="2"/>
            <w:tcBorders>
              <w:top w:val="single" w:sz="8" w:space="0" w:color="000000"/>
            </w:tcBorders>
          </w:tcPr>
          <w:p w14:paraId="63348B91" w14:textId="77777777" w:rsidR="00F5166D" w:rsidRDefault="00623797">
            <w:pPr>
              <w:pStyle w:val="TableParagraph"/>
              <w:spacing w:before="41"/>
              <w:ind w:right="19"/>
              <w:rPr>
                <w:b/>
                <w:sz w:val="18"/>
              </w:rPr>
            </w:pPr>
            <w:r>
              <w:rPr>
                <w:b/>
                <w:w w:val="115"/>
                <w:sz w:val="18"/>
              </w:rPr>
              <w:t>ΟΧΙ-SLD</w:t>
            </w:r>
          </w:p>
        </w:tc>
        <w:tc>
          <w:tcPr>
            <w:tcW w:w="2157" w:type="dxa"/>
            <w:gridSpan w:val="3"/>
            <w:tcBorders>
              <w:top w:val="single" w:sz="8" w:space="0" w:color="000000"/>
            </w:tcBorders>
          </w:tcPr>
          <w:p w14:paraId="71DB27F8" w14:textId="77777777" w:rsidR="00F5166D" w:rsidRDefault="00623797">
            <w:pPr>
              <w:pStyle w:val="TableParagraph"/>
              <w:spacing w:before="41"/>
              <w:ind w:right="110"/>
              <w:rPr>
                <w:b/>
                <w:sz w:val="18"/>
              </w:rPr>
            </w:pPr>
            <w:r>
              <w:rPr>
                <w:b/>
                <w:w w:val="115"/>
                <w:sz w:val="18"/>
              </w:rPr>
              <w:t>SLD</w:t>
            </w:r>
          </w:p>
        </w:tc>
        <w:tc>
          <w:tcPr>
            <w:tcW w:w="2002" w:type="dxa"/>
            <w:gridSpan w:val="2"/>
            <w:tcBorders>
              <w:top w:val="single" w:sz="8" w:space="0" w:color="000000"/>
            </w:tcBorders>
          </w:tcPr>
          <w:p w14:paraId="7F993D51" w14:textId="77777777" w:rsidR="00F5166D" w:rsidRDefault="00623797">
            <w:pPr>
              <w:pStyle w:val="TableParagraph"/>
              <w:spacing w:before="166" w:line="119" w:lineRule="exact"/>
              <w:ind w:left="1282"/>
              <w:jc w:val="left"/>
              <w:rPr>
                <w:b/>
                <w:sz w:val="18"/>
              </w:rPr>
            </w:pPr>
            <w:r>
              <w:rPr>
                <w:rFonts w:ascii="Palatino Linotype"/>
                <w:b/>
                <w:i/>
                <w:sz w:val="18"/>
              </w:rPr>
              <w:t xml:space="preserve">p </w:t>
            </w:r>
            <w:r>
              <w:rPr>
                <w:b/>
                <w:sz w:val="18"/>
              </w:rPr>
              <w:t>*</w:t>
            </w:r>
          </w:p>
        </w:tc>
        <w:tc>
          <w:tcPr>
            <w:tcW w:w="1074" w:type="dxa"/>
            <w:tcBorders>
              <w:top w:val="single" w:sz="8" w:space="0" w:color="000000"/>
            </w:tcBorders>
          </w:tcPr>
          <w:p w14:paraId="34D23FBE" w14:textId="77777777" w:rsidR="00F5166D" w:rsidRDefault="00623797">
            <w:pPr>
              <w:pStyle w:val="TableParagraph"/>
              <w:spacing w:before="173" w:line="112" w:lineRule="exact"/>
              <w:ind w:left="312" w:right="377"/>
              <w:jc w:val="center"/>
              <w:rPr>
                <w:b/>
                <w:sz w:val="14"/>
              </w:rPr>
            </w:pPr>
            <w:r>
              <w:rPr>
                <w:rFonts w:ascii="Calibri" w:hAnsi="Calibri"/>
                <w:b/>
                <w:i/>
                <w:position w:val="-6"/>
                <w:sz w:val="18"/>
              </w:rPr>
              <w:t>η2</w:t>
            </w:r>
          </w:p>
        </w:tc>
      </w:tr>
      <w:tr w:rsidR="00F5166D" w14:paraId="38C5D801" w14:textId="77777777">
        <w:trPr>
          <w:trHeight w:val="305"/>
        </w:trPr>
        <w:tc>
          <w:tcPr>
            <w:tcW w:w="1123" w:type="dxa"/>
            <w:tcBorders>
              <w:bottom w:val="single" w:sz="4" w:space="0" w:color="000000"/>
            </w:tcBorders>
          </w:tcPr>
          <w:p w14:paraId="4B584EF6" w14:textId="77777777" w:rsidR="00F5166D" w:rsidRDefault="00F5166D">
            <w:pPr>
              <w:pStyle w:val="TableParagraph"/>
              <w:jc w:val="left"/>
              <w:rPr>
                <w:rFonts w:ascii="Times New Roman"/>
                <w:sz w:val="18"/>
              </w:rPr>
            </w:pPr>
          </w:p>
        </w:tc>
        <w:tc>
          <w:tcPr>
            <w:tcW w:w="1507" w:type="dxa"/>
            <w:tcBorders>
              <w:top w:val="single" w:sz="4" w:space="0" w:color="000000"/>
              <w:bottom w:val="single" w:sz="4" w:space="0" w:color="000000"/>
            </w:tcBorders>
          </w:tcPr>
          <w:p w14:paraId="15DA09C3" w14:textId="77777777" w:rsidR="00F5166D" w:rsidRDefault="00623797">
            <w:pPr>
              <w:pStyle w:val="TableParagraph"/>
              <w:spacing w:before="23"/>
              <w:ind w:left="472"/>
              <w:jc w:val="left"/>
              <w:rPr>
                <w:rFonts w:ascii="Palatino Linotype"/>
                <w:b/>
                <w:i/>
                <w:sz w:val="18"/>
              </w:rPr>
            </w:pPr>
            <w:r>
              <w:rPr>
                <w:rFonts w:ascii="Palatino Linotype"/>
                <w:b/>
                <w:i/>
                <w:w w:val="99"/>
                <w:sz w:val="18"/>
              </w:rPr>
              <w:t>M</w:t>
            </w:r>
          </w:p>
        </w:tc>
        <w:tc>
          <w:tcPr>
            <w:tcW w:w="739" w:type="dxa"/>
            <w:tcBorders>
              <w:top w:val="single" w:sz="4" w:space="0" w:color="000000"/>
              <w:bottom w:val="single" w:sz="4" w:space="0" w:color="000000"/>
            </w:tcBorders>
          </w:tcPr>
          <w:p w14:paraId="68B54D56" w14:textId="77777777" w:rsidR="00F5166D" w:rsidRDefault="00623797">
            <w:pPr>
              <w:pStyle w:val="TableParagraph"/>
              <w:spacing w:before="23"/>
              <w:ind w:left="56"/>
              <w:jc w:val="left"/>
              <w:rPr>
                <w:rFonts w:ascii="Palatino Linotype"/>
                <w:b/>
                <w:i/>
                <w:sz w:val="18"/>
              </w:rPr>
            </w:pPr>
            <w:r>
              <w:rPr>
                <w:rFonts w:ascii="Palatino Linotype"/>
                <w:b/>
                <w:i/>
                <w:sz w:val="18"/>
              </w:rPr>
              <w:t>Σ</w:t>
            </w:r>
            <w:r>
              <w:rPr>
                <w:rFonts w:ascii="Palatino Linotype"/>
                <w:b/>
                <w:i/>
                <w:sz w:val="18"/>
              </w:rPr>
              <w:t>.</w:t>
            </w:r>
            <w:r>
              <w:rPr>
                <w:rFonts w:ascii="Palatino Linotype"/>
                <w:b/>
                <w:i/>
                <w:sz w:val="18"/>
              </w:rPr>
              <w:t>Δ</w:t>
            </w:r>
            <w:r>
              <w:rPr>
                <w:rFonts w:ascii="Palatino Linotype"/>
                <w:b/>
                <w:i/>
                <w:sz w:val="18"/>
              </w:rPr>
              <w:t>.</w:t>
            </w:r>
          </w:p>
        </w:tc>
        <w:tc>
          <w:tcPr>
            <w:tcW w:w="829" w:type="dxa"/>
            <w:tcBorders>
              <w:top w:val="single" w:sz="4" w:space="0" w:color="000000"/>
              <w:bottom w:val="single" w:sz="4" w:space="0" w:color="000000"/>
            </w:tcBorders>
          </w:tcPr>
          <w:p w14:paraId="0E64D1BC" w14:textId="77777777" w:rsidR="00F5166D" w:rsidRDefault="00623797">
            <w:pPr>
              <w:pStyle w:val="TableParagraph"/>
              <w:spacing w:before="23"/>
              <w:ind w:right="186"/>
              <w:rPr>
                <w:rFonts w:ascii="Palatino Linotype"/>
                <w:b/>
                <w:i/>
                <w:sz w:val="18"/>
              </w:rPr>
            </w:pPr>
            <w:r>
              <w:rPr>
                <w:rFonts w:ascii="Palatino Linotype"/>
                <w:b/>
                <w:i/>
                <w:w w:val="99"/>
                <w:sz w:val="18"/>
              </w:rPr>
              <w:t>M</w:t>
            </w:r>
          </w:p>
        </w:tc>
        <w:tc>
          <w:tcPr>
            <w:tcW w:w="1418" w:type="dxa"/>
            <w:gridSpan w:val="2"/>
            <w:tcBorders>
              <w:top w:val="single" w:sz="4" w:space="0" w:color="000000"/>
              <w:bottom w:val="single" w:sz="4" w:space="0" w:color="000000"/>
            </w:tcBorders>
          </w:tcPr>
          <w:p w14:paraId="4CCEC594" w14:textId="77777777" w:rsidR="00F5166D" w:rsidRDefault="00623797">
            <w:pPr>
              <w:pStyle w:val="TableParagraph"/>
              <w:spacing w:before="23"/>
              <w:ind w:left="733"/>
              <w:jc w:val="left"/>
              <w:rPr>
                <w:rFonts w:ascii="Palatino Linotype"/>
                <w:b/>
                <w:i/>
                <w:sz w:val="18"/>
              </w:rPr>
            </w:pPr>
            <w:r>
              <w:rPr>
                <w:rFonts w:ascii="Palatino Linotype"/>
                <w:b/>
                <w:i/>
                <w:sz w:val="18"/>
              </w:rPr>
              <w:t>Σ</w:t>
            </w:r>
            <w:r>
              <w:rPr>
                <w:rFonts w:ascii="Palatino Linotype"/>
                <w:b/>
                <w:i/>
                <w:sz w:val="18"/>
              </w:rPr>
              <w:t>.</w:t>
            </w:r>
            <w:r>
              <w:rPr>
                <w:rFonts w:ascii="Palatino Linotype"/>
                <w:b/>
                <w:i/>
                <w:sz w:val="18"/>
              </w:rPr>
              <w:t>Δ</w:t>
            </w:r>
            <w:r>
              <w:rPr>
                <w:rFonts w:ascii="Palatino Linotype"/>
                <w:b/>
                <w:i/>
                <w:sz w:val="18"/>
              </w:rPr>
              <w:t>.</w:t>
            </w:r>
          </w:p>
        </w:tc>
        <w:tc>
          <w:tcPr>
            <w:tcW w:w="1173" w:type="dxa"/>
            <w:tcBorders>
              <w:bottom w:val="single" w:sz="4" w:space="0" w:color="000000"/>
            </w:tcBorders>
          </w:tcPr>
          <w:p w14:paraId="337EA605" w14:textId="77777777" w:rsidR="00F5166D" w:rsidRDefault="00F5166D">
            <w:pPr>
              <w:pStyle w:val="TableParagraph"/>
              <w:jc w:val="left"/>
              <w:rPr>
                <w:rFonts w:ascii="Times New Roman"/>
                <w:sz w:val="18"/>
              </w:rPr>
            </w:pPr>
          </w:p>
        </w:tc>
        <w:tc>
          <w:tcPr>
            <w:tcW w:w="1074" w:type="dxa"/>
            <w:tcBorders>
              <w:bottom w:val="single" w:sz="4" w:space="0" w:color="000000"/>
            </w:tcBorders>
          </w:tcPr>
          <w:p w14:paraId="1CB3CCD5" w14:textId="77777777" w:rsidR="00F5166D" w:rsidRDefault="00F5166D">
            <w:pPr>
              <w:pStyle w:val="TableParagraph"/>
              <w:jc w:val="left"/>
              <w:rPr>
                <w:rFonts w:ascii="Times New Roman"/>
                <w:sz w:val="18"/>
              </w:rPr>
            </w:pPr>
          </w:p>
        </w:tc>
      </w:tr>
      <w:tr w:rsidR="00F5166D" w14:paraId="66A0A98C" w14:textId="77777777">
        <w:trPr>
          <w:trHeight w:val="305"/>
        </w:trPr>
        <w:tc>
          <w:tcPr>
            <w:tcW w:w="1123" w:type="dxa"/>
            <w:tcBorders>
              <w:top w:val="single" w:sz="4" w:space="0" w:color="000000"/>
              <w:bottom w:val="single" w:sz="4" w:space="0" w:color="000000"/>
            </w:tcBorders>
          </w:tcPr>
          <w:p w14:paraId="18FC62ED" w14:textId="77777777" w:rsidR="00F5166D" w:rsidRDefault="00623797">
            <w:pPr>
              <w:pStyle w:val="TableParagraph"/>
              <w:spacing w:before="41"/>
              <w:ind w:left="119"/>
              <w:jc w:val="left"/>
              <w:rPr>
                <w:sz w:val="18"/>
              </w:rPr>
            </w:pPr>
            <w:r>
              <w:rPr>
                <w:w w:val="115"/>
                <w:sz w:val="18"/>
              </w:rPr>
              <w:t>IAQ-Α</w:t>
            </w:r>
          </w:p>
        </w:tc>
        <w:tc>
          <w:tcPr>
            <w:tcW w:w="1507" w:type="dxa"/>
            <w:tcBorders>
              <w:top w:val="single" w:sz="4" w:space="0" w:color="000000"/>
              <w:bottom w:val="single" w:sz="4" w:space="0" w:color="000000"/>
            </w:tcBorders>
          </w:tcPr>
          <w:p w14:paraId="256BD94B" w14:textId="77777777" w:rsidR="00F5166D" w:rsidRDefault="00623797">
            <w:pPr>
              <w:pStyle w:val="TableParagraph"/>
              <w:spacing w:before="41"/>
              <w:ind w:left="403"/>
              <w:jc w:val="left"/>
              <w:rPr>
                <w:sz w:val="18"/>
              </w:rPr>
            </w:pPr>
            <w:r>
              <w:rPr>
                <w:sz w:val="18"/>
              </w:rPr>
              <w:t>0.71</w:t>
            </w:r>
          </w:p>
        </w:tc>
        <w:tc>
          <w:tcPr>
            <w:tcW w:w="739" w:type="dxa"/>
            <w:tcBorders>
              <w:top w:val="single" w:sz="4" w:space="0" w:color="000000"/>
              <w:bottom w:val="single" w:sz="4" w:space="0" w:color="000000"/>
            </w:tcBorders>
          </w:tcPr>
          <w:p w14:paraId="357BD8C1" w14:textId="77777777" w:rsidR="00F5166D" w:rsidRDefault="00623797">
            <w:pPr>
              <w:pStyle w:val="TableParagraph"/>
              <w:spacing w:before="41"/>
              <w:ind w:left="19"/>
              <w:jc w:val="left"/>
              <w:rPr>
                <w:sz w:val="18"/>
              </w:rPr>
            </w:pPr>
            <w:r>
              <w:rPr>
                <w:sz w:val="18"/>
              </w:rPr>
              <w:t>0.30</w:t>
            </w:r>
          </w:p>
        </w:tc>
        <w:tc>
          <w:tcPr>
            <w:tcW w:w="829" w:type="dxa"/>
            <w:tcBorders>
              <w:top w:val="single" w:sz="4" w:space="0" w:color="000000"/>
              <w:bottom w:val="single" w:sz="4" w:space="0" w:color="000000"/>
            </w:tcBorders>
          </w:tcPr>
          <w:p w14:paraId="6B373B07" w14:textId="77777777" w:rsidR="00F5166D" w:rsidRDefault="00623797">
            <w:pPr>
              <w:pStyle w:val="TableParagraph"/>
              <w:spacing w:before="41"/>
              <w:ind w:right="110"/>
              <w:rPr>
                <w:sz w:val="18"/>
              </w:rPr>
            </w:pPr>
            <w:r>
              <w:rPr>
                <w:sz w:val="18"/>
              </w:rPr>
              <w:t>1.00</w:t>
            </w:r>
          </w:p>
        </w:tc>
        <w:tc>
          <w:tcPr>
            <w:tcW w:w="1418" w:type="dxa"/>
            <w:gridSpan w:val="2"/>
            <w:tcBorders>
              <w:top w:val="single" w:sz="4" w:space="0" w:color="000000"/>
              <w:bottom w:val="single" w:sz="4" w:space="0" w:color="000000"/>
            </w:tcBorders>
          </w:tcPr>
          <w:p w14:paraId="40E0705B" w14:textId="77777777" w:rsidR="00F5166D" w:rsidRDefault="00623797">
            <w:pPr>
              <w:pStyle w:val="TableParagraph"/>
              <w:spacing w:before="41"/>
              <w:ind w:left="696"/>
              <w:jc w:val="left"/>
              <w:rPr>
                <w:sz w:val="18"/>
              </w:rPr>
            </w:pPr>
            <w:r>
              <w:rPr>
                <w:sz w:val="18"/>
              </w:rPr>
              <w:t>0.54</w:t>
            </w:r>
          </w:p>
        </w:tc>
        <w:tc>
          <w:tcPr>
            <w:tcW w:w="1173" w:type="dxa"/>
            <w:tcBorders>
              <w:top w:val="single" w:sz="4" w:space="0" w:color="000000"/>
              <w:bottom w:val="single" w:sz="4" w:space="0" w:color="000000"/>
            </w:tcBorders>
          </w:tcPr>
          <w:p w14:paraId="7D4333CA" w14:textId="77777777" w:rsidR="00F5166D" w:rsidRDefault="00623797">
            <w:pPr>
              <w:pStyle w:val="TableParagraph"/>
              <w:spacing w:before="41"/>
              <w:ind w:left="301"/>
              <w:jc w:val="left"/>
              <w:rPr>
                <w:sz w:val="18"/>
              </w:rPr>
            </w:pPr>
            <w:r>
              <w:rPr>
                <w:sz w:val="18"/>
              </w:rPr>
              <w:t>&lt;0,001</w:t>
            </w:r>
          </w:p>
        </w:tc>
        <w:tc>
          <w:tcPr>
            <w:tcW w:w="1074" w:type="dxa"/>
            <w:tcBorders>
              <w:top w:val="single" w:sz="4" w:space="0" w:color="000000"/>
              <w:bottom w:val="single" w:sz="4" w:space="0" w:color="000000"/>
            </w:tcBorders>
          </w:tcPr>
          <w:p w14:paraId="1626B955" w14:textId="77777777" w:rsidR="00F5166D" w:rsidRDefault="00623797">
            <w:pPr>
              <w:pStyle w:val="TableParagraph"/>
              <w:spacing w:before="41"/>
              <w:ind w:left="320" w:right="377"/>
              <w:jc w:val="center"/>
              <w:rPr>
                <w:sz w:val="18"/>
              </w:rPr>
            </w:pPr>
            <w:r>
              <w:rPr>
                <w:sz w:val="18"/>
              </w:rPr>
              <w:t>0.08</w:t>
            </w:r>
          </w:p>
        </w:tc>
      </w:tr>
      <w:tr w:rsidR="00F5166D" w14:paraId="5A8CCF55" w14:textId="77777777">
        <w:trPr>
          <w:trHeight w:val="305"/>
        </w:trPr>
        <w:tc>
          <w:tcPr>
            <w:tcW w:w="1123" w:type="dxa"/>
            <w:tcBorders>
              <w:top w:val="single" w:sz="4" w:space="0" w:color="000000"/>
              <w:bottom w:val="single" w:sz="4" w:space="0" w:color="000000"/>
            </w:tcBorders>
          </w:tcPr>
          <w:p w14:paraId="3C955E7D" w14:textId="77777777" w:rsidR="00F5166D" w:rsidRDefault="00623797">
            <w:pPr>
              <w:pStyle w:val="TableParagraph"/>
              <w:spacing w:before="41"/>
              <w:ind w:left="119"/>
              <w:jc w:val="left"/>
              <w:rPr>
                <w:sz w:val="18"/>
              </w:rPr>
            </w:pPr>
            <w:r>
              <w:rPr>
                <w:w w:val="115"/>
                <w:sz w:val="18"/>
              </w:rPr>
              <w:t>IAQ-Ι</w:t>
            </w:r>
          </w:p>
        </w:tc>
        <w:tc>
          <w:tcPr>
            <w:tcW w:w="1507" w:type="dxa"/>
            <w:tcBorders>
              <w:top w:val="single" w:sz="4" w:space="0" w:color="000000"/>
              <w:bottom w:val="single" w:sz="4" w:space="0" w:color="000000"/>
            </w:tcBorders>
          </w:tcPr>
          <w:p w14:paraId="4956BA33" w14:textId="77777777" w:rsidR="00F5166D" w:rsidRDefault="00623797">
            <w:pPr>
              <w:pStyle w:val="TableParagraph"/>
              <w:spacing w:before="41"/>
              <w:ind w:left="403"/>
              <w:jc w:val="left"/>
              <w:rPr>
                <w:sz w:val="18"/>
              </w:rPr>
            </w:pPr>
            <w:r>
              <w:rPr>
                <w:sz w:val="18"/>
              </w:rPr>
              <w:t>0.77</w:t>
            </w:r>
          </w:p>
        </w:tc>
        <w:tc>
          <w:tcPr>
            <w:tcW w:w="739" w:type="dxa"/>
            <w:tcBorders>
              <w:top w:val="single" w:sz="4" w:space="0" w:color="000000"/>
              <w:bottom w:val="single" w:sz="4" w:space="0" w:color="000000"/>
            </w:tcBorders>
          </w:tcPr>
          <w:p w14:paraId="1F3219BC" w14:textId="77777777" w:rsidR="00F5166D" w:rsidRDefault="00623797">
            <w:pPr>
              <w:pStyle w:val="TableParagraph"/>
              <w:spacing w:before="41"/>
              <w:ind w:left="19"/>
              <w:jc w:val="left"/>
              <w:rPr>
                <w:sz w:val="18"/>
              </w:rPr>
            </w:pPr>
            <w:r>
              <w:rPr>
                <w:sz w:val="18"/>
              </w:rPr>
              <w:t>0.38</w:t>
            </w:r>
          </w:p>
        </w:tc>
        <w:tc>
          <w:tcPr>
            <w:tcW w:w="829" w:type="dxa"/>
            <w:tcBorders>
              <w:top w:val="single" w:sz="4" w:space="0" w:color="000000"/>
              <w:bottom w:val="single" w:sz="4" w:space="0" w:color="000000"/>
            </w:tcBorders>
          </w:tcPr>
          <w:p w14:paraId="601207A7" w14:textId="77777777" w:rsidR="00F5166D" w:rsidRDefault="00623797">
            <w:pPr>
              <w:pStyle w:val="TableParagraph"/>
              <w:spacing w:before="41"/>
              <w:ind w:right="110"/>
              <w:rPr>
                <w:sz w:val="18"/>
              </w:rPr>
            </w:pPr>
            <w:r>
              <w:rPr>
                <w:sz w:val="18"/>
              </w:rPr>
              <w:t>0.94</w:t>
            </w:r>
          </w:p>
        </w:tc>
        <w:tc>
          <w:tcPr>
            <w:tcW w:w="1418" w:type="dxa"/>
            <w:gridSpan w:val="2"/>
            <w:tcBorders>
              <w:top w:val="single" w:sz="4" w:space="0" w:color="000000"/>
              <w:bottom w:val="single" w:sz="4" w:space="0" w:color="000000"/>
            </w:tcBorders>
          </w:tcPr>
          <w:p w14:paraId="2EBC8103" w14:textId="77777777" w:rsidR="00F5166D" w:rsidRDefault="00623797">
            <w:pPr>
              <w:pStyle w:val="TableParagraph"/>
              <w:spacing w:before="41"/>
              <w:ind w:left="696"/>
              <w:jc w:val="left"/>
              <w:rPr>
                <w:sz w:val="18"/>
              </w:rPr>
            </w:pPr>
            <w:r>
              <w:rPr>
                <w:sz w:val="18"/>
              </w:rPr>
              <w:t>0.46</w:t>
            </w:r>
          </w:p>
        </w:tc>
        <w:tc>
          <w:tcPr>
            <w:tcW w:w="1173" w:type="dxa"/>
            <w:tcBorders>
              <w:top w:val="single" w:sz="4" w:space="0" w:color="000000"/>
              <w:bottom w:val="single" w:sz="4" w:space="0" w:color="000000"/>
            </w:tcBorders>
          </w:tcPr>
          <w:p w14:paraId="10AE26C9" w14:textId="77777777" w:rsidR="00F5166D" w:rsidRDefault="00623797">
            <w:pPr>
              <w:pStyle w:val="TableParagraph"/>
              <w:spacing w:before="41"/>
              <w:ind w:left="301"/>
              <w:jc w:val="left"/>
              <w:rPr>
                <w:sz w:val="18"/>
              </w:rPr>
            </w:pPr>
            <w:r>
              <w:rPr>
                <w:sz w:val="18"/>
              </w:rPr>
              <w:t>&lt;0,001</w:t>
            </w:r>
          </w:p>
        </w:tc>
        <w:tc>
          <w:tcPr>
            <w:tcW w:w="1074" w:type="dxa"/>
            <w:tcBorders>
              <w:top w:val="single" w:sz="4" w:space="0" w:color="000000"/>
              <w:bottom w:val="single" w:sz="4" w:space="0" w:color="000000"/>
            </w:tcBorders>
          </w:tcPr>
          <w:p w14:paraId="0412A692" w14:textId="77777777" w:rsidR="00F5166D" w:rsidRDefault="00623797">
            <w:pPr>
              <w:pStyle w:val="TableParagraph"/>
              <w:spacing w:before="41"/>
              <w:ind w:left="320" w:right="377"/>
              <w:jc w:val="center"/>
              <w:rPr>
                <w:sz w:val="18"/>
              </w:rPr>
            </w:pPr>
            <w:r>
              <w:rPr>
                <w:sz w:val="18"/>
              </w:rPr>
              <w:t>0.05</w:t>
            </w:r>
          </w:p>
        </w:tc>
      </w:tr>
      <w:tr w:rsidR="00F5166D" w14:paraId="1EC2CD33" w14:textId="77777777">
        <w:trPr>
          <w:trHeight w:val="305"/>
        </w:trPr>
        <w:tc>
          <w:tcPr>
            <w:tcW w:w="1123" w:type="dxa"/>
            <w:tcBorders>
              <w:top w:val="single" w:sz="4" w:space="0" w:color="000000"/>
              <w:bottom w:val="single" w:sz="4" w:space="0" w:color="000000"/>
            </w:tcBorders>
          </w:tcPr>
          <w:p w14:paraId="66FAD4BB" w14:textId="77777777" w:rsidR="00F5166D" w:rsidRDefault="00623797">
            <w:pPr>
              <w:pStyle w:val="TableParagraph"/>
              <w:spacing w:before="41"/>
              <w:ind w:left="119"/>
              <w:jc w:val="left"/>
              <w:rPr>
                <w:sz w:val="18"/>
              </w:rPr>
            </w:pPr>
            <w:r>
              <w:rPr>
                <w:w w:val="115"/>
                <w:sz w:val="18"/>
              </w:rPr>
              <w:t>IAQ-Ν</w:t>
            </w:r>
          </w:p>
        </w:tc>
        <w:tc>
          <w:tcPr>
            <w:tcW w:w="1507" w:type="dxa"/>
            <w:tcBorders>
              <w:top w:val="single" w:sz="4" w:space="0" w:color="000000"/>
              <w:bottom w:val="single" w:sz="4" w:space="0" w:color="000000"/>
            </w:tcBorders>
          </w:tcPr>
          <w:p w14:paraId="3FBFF681" w14:textId="77777777" w:rsidR="00F5166D" w:rsidRDefault="00623797">
            <w:pPr>
              <w:pStyle w:val="TableParagraph"/>
              <w:spacing w:before="41"/>
              <w:ind w:left="403"/>
              <w:jc w:val="left"/>
              <w:rPr>
                <w:sz w:val="18"/>
              </w:rPr>
            </w:pPr>
            <w:r>
              <w:rPr>
                <w:sz w:val="18"/>
              </w:rPr>
              <w:t>0.86</w:t>
            </w:r>
          </w:p>
        </w:tc>
        <w:tc>
          <w:tcPr>
            <w:tcW w:w="739" w:type="dxa"/>
            <w:tcBorders>
              <w:top w:val="single" w:sz="4" w:space="0" w:color="000000"/>
              <w:bottom w:val="single" w:sz="4" w:space="0" w:color="000000"/>
            </w:tcBorders>
          </w:tcPr>
          <w:p w14:paraId="42609445" w14:textId="77777777" w:rsidR="00F5166D" w:rsidRDefault="00623797">
            <w:pPr>
              <w:pStyle w:val="TableParagraph"/>
              <w:spacing w:before="41"/>
              <w:ind w:left="19"/>
              <w:jc w:val="left"/>
              <w:rPr>
                <w:sz w:val="18"/>
              </w:rPr>
            </w:pPr>
            <w:r>
              <w:rPr>
                <w:sz w:val="18"/>
              </w:rPr>
              <w:t>0.29</w:t>
            </w:r>
          </w:p>
        </w:tc>
        <w:tc>
          <w:tcPr>
            <w:tcW w:w="829" w:type="dxa"/>
            <w:tcBorders>
              <w:top w:val="single" w:sz="4" w:space="0" w:color="000000"/>
              <w:bottom w:val="single" w:sz="4" w:space="0" w:color="000000"/>
            </w:tcBorders>
          </w:tcPr>
          <w:p w14:paraId="0E24FA01" w14:textId="77777777" w:rsidR="00F5166D" w:rsidRDefault="00623797">
            <w:pPr>
              <w:pStyle w:val="TableParagraph"/>
              <w:spacing w:before="41"/>
              <w:ind w:right="110"/>
              <w:rPr>
                <w:sz w:val="18"/>
              </w:rPr>
            </w:pPr>
            <w:r>
              <w:rPr>
                <w:sz w:val="18"/>
              </w:rPr>
              <w:t>0.94</w:t>
            </w:r>
          </w:p>
        </w:tc>
        <w:tc>
          <w:tcPr>
            <w:tcW w:w="1418" w:type="dxa"/>
            <w:gridSpan w:val="2"/>
            <w:tcBorders>
              <w:top w:val="single" w:sz="4" w:space="0" w:color="000000"/>
              <w:bottom w:val="single" w:sz="4" w:space="0" w:color="000000"/>
            </w:tcBorders>
          </w:tcPr>
          <w:p w14:paraId="3B97B129" w14:textId="77777777" w:rsidR="00F5166D" w:rsidRDefault="00623797">
            <w:pPr>
              <w:pStyle w:val="TableParagraph"/>
              <w:spacing w:before="41"/>
              <w:ind w:left="696"/>
              <w:jc w:val="left"/>
              <w:rPr>
                <w:sz w:val="18"/>
              </w:rPr>
            </w:pPr>
            <w:r>
              <w:rPr>
                <w:sz w:val="18"/>
              </w:rPr>
              <w:t>0.53</w:t>
            </w:r>
          </w:p>
        </w:tc>
        <w:tc>
          <w:tcPr>
            <w:tcW w:w="1173" w:type="dxa"/>
            <w:tcBorders>
              <w:top w:val="single" w:sz="4" w:space="0" w:color="000000"/>
              <w:bottom w:val="single" w:sz="4" w:space="0" w:color="000000"/>
            </w:tcBorders>
          </w:tcPr>
          <w:p w14:paraId="45743F98" w14:textId="77777777" w:rsidR="00F5166D" w:rsidRDefault="00623797">
            <w:pPr>
              <w:pStyle w:val="TableParagraph"/>
              <w:spacing w:before="41"/>
              <w:ind w:left="356"/>
              <w:jc w:val="left"/>
              <w:rPr>
                <w:sz w:val="18"/>
              </w:rPr>
            </w:pPr>
            <w:r>
              <w:rPr>
                <w:sz w:val="18"/>
              </w:rPr>
              <w:t>0.021</w:t>
            </w:r>
          </w:p>
        </w:tc>
        <w:tc>
          <w:tcPr>
            <w:tcW w:w="1074" w:type="dxa"/>
            <w:tcBorders>
              <w:top w:val="single" w:sz="4" w:space="0" w:color="000000"/>
              <w:bottom w:val="single" w:sz="4" w:space="0" w:color="000000"/>
            </w:tcBorders>
          </w:tcPr>
          <w:p w14:paraId="17B891EC" w14:textId="77777777" w:rsidR="00F5166D" w:rsidRDefault="00623797">
            <w:pPr>
              <w:pStyle w:val="TableParagraph"/>
              <w:spacing w:before="41"/>
              <w:ind w:left="320" w:right="377"/>
              <w:jc w:val="center"/>
              <w:rPr>
                <w:sz w:val="18"/>
              </w:rPr>
            </w:pPr>
            <w:r>
              <w:rPr>
                <w:sz w:val="18"/>
              </w:rPr>
              <w:t>0.01</w:t>
            </w:r>
          </w:p>
        </w:tc>
      </w:tr>
      <w:tr w:rsidR="00F5166D" w14:paraId="4DA7CC27" w14:textId="77777777">
        <w:trPr>
          <w:trHeight w:val="305"/>
        </w:trPr>
        <w:tc>
          <w:tcPr>
            <w:tcW w:w="1123" w:type="dxa"/>
            <w:tcBorders>
              <w:top w:val="single" w:sz="4" w:space="0" w:color="000000"/>
              <w:bottom w:val="single" w:sz="4" w:space="0" w:color="000000"/>
            </w:tcBorders>
          </w:tcPr>
          <w:p w14:paraId="3246D56D" w14:textId="77777777" w:rsidR="00F5166D" w:rsidRDefault="00623797">
            <w:pPr>
              <w:pStyle w:val="TableParagraph"/>
              <w:spacing w:before="41"/>
              <w:ind w:left="119"/>
              <w:jc w:val="left"/>
              <w:rPr>
                <w:sz w:val="18"/>
              </w:rPr>
            </w:pPr>
            <w:r>
              <w:rPr>
                <w:w w:val="115"/>
                <w:sz w:val="18"/>
              </w:rPr>
              <w:t>IAQ-P</w:t>
            </w:r>
          </w:p>
        </w:tc>
        <w:tc>
          <w:tcPr>
            <w:tcW w:w="1507" w:type="dxa"/>
            <w:tcBorders>
              <w:top w:val="single" w:sz="4" w:space="0" w:color="000000"/>
              <w:bottom w:val="single" w:sz="4" w:space="0" w:color="000000"/>
            </w:tcBorders>
          </w:tcPr>
          <w:p w14:paraId="62767D67" w14:textId="77777777" w:rsidR="00F5166D" w:rsidRDefault="00623797">
            <w:pPr>
              <w:pStyle w:val="TableParagraph"/>
              <w:spacing w:before="41"/>
              <w:ind w:left="403"/>
              <w:jc w:val="left"/>
              <w:rPr>
                <w:sz w:val="18"/>
              </w:rPr>
            </w:pPr>
            <w:r>
              <w:rPr>
                <w:sz w:val="18"/>
              </w:rPr>
              <w:t>0.96</w:t>
            </w:r>
          </w:p>
        </w:tc>
        <w:tc>
          <w:tcPr>
            <w:tcW w:w="739" w:type="dxa"/>
            <w:tcBorders>
              <w:top w:val="single" w:sz="4" w:space="0" w:color="000000"/>
              <w:bottom w:val="single" w:sz="4" w:space="0" w:color="000000"/>
            </w:tcBorders>
          </w:tcPr>
          <w:p w14:paraId="76B5CB35" w14:textId="77777777" w:rsidR="00F5166D" w:rsidRDefault="00623797">
            <w:pPr>
              <w:pStyle w:val="TableParagraph"/>
              <w:spacing w:before="41"/>
              <w:ind w:left="19"/>
              <w:jc w:val="left"/>
              <w:rPr>
                <w:sz w:val="18"/>
              </w:rPr>
            </w:pPr>
            <w:r>
              <w:rPr>
                <w:sz w:val="18"/>
              </w:rPr>
              <w:t>0.38</w:t>
            </w:r>
          </w:p>
        </w:tc>
        <w:tc>
          <w:tcPr>
            <w:tcW w:w="829" w:type="dxa"/>
            <w:tcBorders>
              <w:top w:val="single" w:sz="4" w:space="0" w:color="000000"/>
              <w:bottom w:val="single" w:sz="4" w:space="0" w:color="000000"/>
            </w:tcBorders>
          </w:tcPr>
          <w:p w14:paraId="37419495" w14:textId="77777777" w:rsidR="00F5166D" w:rsidRDefault="00623797">
            <w:pPr>
              <w:pStyle w:val="TableParagraph"/>
              <w:spacing w:before="41"/>
              <w:ind w:right="110"/>
              <w:rPr>
                <w:sz w:val="18"/>
              </w:rPr>
            </w:pPr>
            <w:r>
              <w:rPr>
                <w:sz w:val="18"/>
              </w:rPr>
              <w:t>1.01</w:t>
            </w:r>
          </w:p>
        </w:tc>
        <w:tc>
          <w:tcPr>
            <w:tcW w:w="1418" w:type="dxa"/>
            <w:gridSpan w:val="2"/>
            <w:tcBorders>
              <w:top w:val="single" w:sz="4" w:space="0" w:color="000000"/>
              <w:bottom w:val="single" w:sz="4" w:space="0" w:color="000000"/>
            </w:tcBorders>
          </w:tcPr>
          <w:p w14:paraId="69EDFA5C" w14:textId="77777777" w:rsidR="00F5166D" w:rsidRDefault="00623797">
            <w:pPr>
              <w:pStyle w:val="TableParagraph"/>
              <w:spacing w:before="41"/>
              <w:ind w:left="696"/>
              <w:jc w:val="left"/>
              <w:rPr>
                <w:sz w:val="18"/>
              </w:rPr>
            </w:pPr>
            <w:r>
              <w:rPr>
                <w:sz w:val="18"/>
              </w:rPr>
              <w:t>0.33</w:t>
            </w:r>
          </w:p>
        </w:tc>
        <w:tc>
          <w:tcPr>
            <w:tcW w:w="1173" w:type="dxa"/>
            <w:tcBorders>
              <w:top w:val="single" w:sz="4" w:space="0" w:color="000000"/>
              <w:bottom w:val="single" w:sz="4" w:space="0" w:color="000000"/>
            </w:tcBorders>
          </w:tcPr>
          <w:p w14:paraId="69AA7A47" w14:textId="77777777" w:rsidR="00F5166D" w:rsidRDefault="00623797">
            <w:pPr>
              <w:pStyle w:val="TableParagraph"/>
              <w:spacing w:before="41"/>
              <w:ind w:left="356"/>
              <w:jc w:val="left"/>
              <w:rPr>
                <w:sz w:val="18"/>
              </w:rPr>
            </w:pPr>
            <w:r>
              <w:rPr>
                <w:sz w:val="18"/>
              </w:rPr>
              <w:t>0.035</w:t>
            </w:r>
          </w:p>
        </w:tc>
        <w:tc>
          <w:tcPr>
            <w:tcW w:w="1074" w:type="dxa"/>
            <w:tcBorders>
              <w:top w:val="single" w:sz="4" w:space="0" w:color="000000"/>
              <w:bottom w:val="single" w:sz="4" w:space="0" w:color="000000"/>
            </w:tcBorders>
          </w:tcPr>
          <w:p w14:paraId="4C21F459" w14:textId="77777777" w:rsidR="00F5166D" w:rsidRDefault="00623797">
            <w:pPr>
              <w:pStyle w:val="TableParagraph"/>
              <w:spacing w:before="41"/>
              <w:ind w:left="320" w:right="377"/>
              <w:jc w:val="center"/>
              <w:rPr>
                <w:sz w:val="18"/>
              </w:rPr>
            </w:pPr>
            <w:r>
              <w:rPr>
                <w:sz w:val="18"/>
              </w:rPr>
              <w:t>0.01</w:t>
            </w:r>
          </w:p>
        </w:tc>
      </w:tr>
      <w:tr w:rsidR="00F5166D" w14:paraId="4B86C006" w14:textId="77777777">
        <w:trPr>
          <w:trHeight w:val="305"/>
        </w:trPr>
        <w:tc>
          <w:tcPr>
            <w:tcW w:w="1123" w:type="dxa"/>
            <w:tcBorders>
              <w:top w:val="single" w:sz="4" w:space="0" w:color="000000"/>
              <w:bottom w:val="single" w:sz="8" w:space="0" w:color="000000"/>
            </w:tcBorders>
          </w:tcPr>
          <w:p w14:paraId="394FDB7F" w14:textId="77777777" w:rsidR="00F5166D" w:rsidRDefault="00623797">
            <w:pPr>
              <w:pStyle w:val="TableParagraph"/>
              <w:spacing w:before="41"/>
              <w:ind w:left="119"/>
              <w:jc w:val="left"/>
              <w:rPr>
                <w:sz w:val="18"/>
              </w:rPr>
            </w:pPr>
            <w:r>
              <w:rPr>
                <w:w w:val="115"/>
                <w:sz w:val="18"/>
              </w:rPr>
              <w:t>IAQ-S</w:t>
            </w:r>
          </w:p>
        </w:tc>
        <w:tc>
          <w:tcPr>
            <w:tcW w:w="1507" w:type="dxa"/>
            <w:tcBorders>
              <w:top w:val="single" w:sz="4" w:space="0" w:color="000000"/>
              <w:bottom w:val="single" w:sz="8" w:space="0" w:color="000000"/>
            </w:tcBorders>
          </w:tcPr>
          <w:p w14:paraId="47A45D1F" w14:textId="77777777" w:rsidR="00F5166D" w:rsidRDefault="00623797">
            <w:pPr>
              <w:pStyle w:val="TableParagraph"/>
              <w:spacing w:before="41"/>
              <w:ind w:left="403"/>
              <w:jc w:val="left"/>
              <w:rPr>
                <w:sz w:val="18"/>
              </w:rPr>
            </w:pPr>
            <w:r>
              <w:rPr>
                <w:sz w:val="18"/>
              </w:rPr>
              <w:t>0.64</w:t>
            </w:r>
          </w:p>
        </w:tc>
        <w:tc>
          <w:tcPr>
            <w:tcW w:w="739" w:type="dxa"/>
            <w:tcBorders>
              <w:top w:val="single" w:sz="4" w:space="0" w:color="000000"/>
              <w:bottom w:val="single" w:sz="8" w:space="0" w:color="000000"/>
            </w:tcBorders>
          </w:tcPr>
          <w:p w14:paraId="07953AC4" w14:textId="77777777" w:rsidR="00F5166D" w:rsidRDefault="00623797">
            <w:pPr>
              <w:pStyle w:val="TableParagraph"/>
              <w:spacing w:before="41"/>
              <w:ind w:left="19"/>
              <w:jc w:val="left"/>
              <w:rPr>
                <w:sz w:val="18"/>
              </w:rPr>
            </w:pPr>
            <w:r>
              <w:rPr>
                <w:sz w:val="18"/>
              </w:rPr>
              <w:t>0.41</w:t>
            </w:r>
          </w:p>
        </w:tc>
        <w:tc>
          <w:tcPr>
            <w:tcW w:w="829" w:type="dxa"/>
            <w:tcBorders>
              <w:top w:val="single" w:sz="4" w:space="0" w:color="000000"/>
              <w:bottom w:val="single" w:sz="8" w:space="0" w:color="000000"/>
            </w:tcBorders>
          </w:tcPr>
          <w:p w14:paraId="02FC3624" w14:textId="77777777" w:rsidR="00F5166D" w:rsidRDefault="00623797">
            <w:pPr>
              <w:pStyle w:val="TableParagraph"/>
              <w:spacing w:before="41"/>
              <w:ind w:right="110"/>
              <w:rPr>
                <w:sz w:val="18"/>
              </w:rPr>
            </w:pPr>
            <w:r>
              <w:rPr>
                <w:sz w:val="18"/>
              </w:rPr>
              <w:t>0.97</w:t>
            </w:r>
          </w:p>
        </w:tc>
        <w:tc>
          <w:tcPr>
            <w:tcW w:w="1418" w:type="dxa"/>
            <w:gridSpan w:val="2"/>
            <w:tcBorders>
              <w:top w:val="single" w:sz="4" w:space="0" w:color="000000"/>
              <w:bottom w:val="single" w:sz="8" w:space="0" w:color="000000"/>
            </w:tcBorders>
          </w:tcPr>
          <w:p w14:paraId="20B5BAC1" w14:textId="77777777" w:rsidR="00F5166D" w:rsidRDefault="00623797">
            <w:pPr>
              <w:pStyle w:val="TableParagraph"/>
              <w:spacing w:before="41"/>
              <w:ind w:left="696"/>
              <w:jc w:val="left"/>
              <w:rPr>
                <w:sz w:val="18"/>
              </w:rPr>
            </w:pPr>
            <w:r>
              <w:rPr>
                <w:sz w:val="18"/>
              </w:rPr>
              <w:t>0.58</w:t>
            </w:r>
          </w:p>
        </w:tc>
        <w:tc>
          <w:tcPr>
            <w:tcW w:w="1173" w:type="dxa"/>
            <w:tcBorders>
              <w:top w:val="single" w:sz="4" w:space="0" w:color="000000"/>
              <w:bottom w:val="single" w:sz="8" w:space="0" w:color="000000"/>
            </w:tcBorders>
          </w:tcPr>
          <w:p w14:paraId="76CA3004" w14:textId="77777777" w:rsidR="00F5166D" w:rsidRDefault="00623797">
            <w:pPr>
              <w:pStyle w:val="TableParagraph"/>
              <w:spacing w:before="41"/>
              <w:ind w:left="301"/>
              <w:jc w:val="left"/>
              <w:rPr>
                <w:sz w:val="18"/>
              </w:rPr>
            </w:pPr>
            <w:r>
              <w:rPr>
                <w:sz w:val="18"/>
              </w:rPr>
              <w:t>&lt;0,001</w:t>
            </w:r>
          </w:p>
        </w:tc>
        <w:tc>
          <w:tcPr>
            <w:tcW w:w="1074" w:type="dxa"/>
            <w:tcBorders>
              <w:top w:val="single" w:sz="4" w:space="0" w:color="000000"/>
              <w:bottom w:val="single" w:sz="8" w:space="0" w:color="000000"/>
            </w:tcBorders>
          </w:tcPr>
          <w:p w14:paraId="45A0F93F" w14:textId="77777777" w:rsidR="00F5166D" w:rsidRDefault="00623797">
            <w:pPr>
              <w:pStyle w:val="TableParagraph"/>
              <w:spacing w:before="41"/>
              <w:ind w:left="320" w:right="377"/>
              <w:jc w:val="center"/>
              <w:rPr>
                <w:sz w:val="18"/>
              </w:rPr>
            </w:pPr>
            <w:r>
              <w:rPr>
                <w:sz w:val="18"/>
              </w:rPr>
              <w:t>0.07</w:t>
            </w:r>
          </w:p>
        </w:tc>
      </w:tr>
    </w:tbl>
    <w:p w14:paraId="0B8193BA" w14:textId="77777777" w:rsidR="00F5166D" w:rsidRPr="00D11C54" w:rsidRDefault="00623797">
      <w:pPr>
        <w:ind w:left="2727" w:right="111"/>
        <w:jc w:val="both"/>
        <w:rPr>
          <w:sz w:val="16"/>
          <w:lang w:val="el-GR"/>
        </w:rPr>
      </w:pPr>
      <w:r w:rsidRPr="00D11C54">
        <w:rPr>
          <w:w w:val="105"/>
          <w:sz w:val="16"/>
          <w:lang w:val="el-GR"/>
        </w:rPr>
        <w:t xml:space="preserve">Σημειώσεις: </w:t>
      </w:r>
      <w:r w:rsidRPr="00623797">
        <w:rPr>
          <w:w w:val="105"/>
          <w:sz w:val="16"/>
        </w:rPr>
        <w:t>SLD</w:t>
      </w:r>
      <w:r w:rsidRPr="00D11C54">
        <w:rPr>
          <w:w w:val="105"/>
          <w:sz w:val="16"/>
          <w:lang w:val="el-GR"/>
        </w:rPr>
        <w:t xml:space="preserve"> = ειδική μαθησιακή διαταραχή.  </w:t>
      </w:r>
      <w:r w:rsidRPr="00623797">
        <w:rPr>
          <w:w w:val="105"/>
          <w:sz w:val="16"/>
        </w:rPr>
        <w:t>IAQ</w:t>
      </w:r>
      <w:r w:rsidRPr="00D11C54">
        <w:rPr>
          <w:w w:val="105"/>
          <w:sz w:val="16"/>
          <w:lang w:val="el-GR"/>
        </w:rPr>
        <w:t>-</w:t>
      </w:r>
      <w:r w:rsidRPr="00623797">
        <w:rPr>
          <w:w w:val="105"/>
          <w:sz w:val="16"/>
        </w:rPr>
        <w:t>A</w:t>
      </w:r>
      <w:r w:rsidRPr="00D11C54">
        <w:rPr>
          <w:w w:val="105"/>
          <w:sz w:val="16"/>
          <w:lang w:val="el-GR"/>
        </w:rPr>
        <w:t xml:space="preserve"> = ερωτηματολόγιο διαπροσωπικής προσαρμογής — μη σύνδεση· </w:t>
      </w:r>
      <w:r w:rsidRPr="00623797">
        <w:rPr>
          <w:w w:val="105"/>
          <w:sz w:val="16"/>
        </w:rPr>
        <w:t>IAQ</w:t>
      </w:r>
      <w:r w:rsidRPr="00D11C54">
        <w:rPr>
          <w:w w:val="105"/>
          <w:sz w:val="16"/>
          <w:lang w:val="el-GR"/>
        </w:rPr>
        <w:t>-</w:t>
      </w:r>
      <w:r w:rsidRPr="00623797">
        <w:rPr>
          <w:w w:val="105"/>
          <w:sz w:val="16"/>
        </w:rPr>
        <w:t>I</w:t>
      </w:r>
      <w:r w:rsidRPr="00D11C54">
        <w:rPr>
          <w:w w:val="105"/>
          <w:sz w:val="16"/>
          <w:lang w:val="el-GR"/>
        </w:rPr>
        <w:t xml:space="preserve"> = ερωτηματολόγιο διαπροσωπικής προσαρμογής—παρορμητικότητα·  </w:t>
      </w:r>
      <w:r w:rsidRPr="00623797">
        <w:rPr>
          <w:w w:val="105"/>
          <w:sz w:val="16"/>
        </w:rPr>
        <w:t>IAQ</w:t>
      </w:r>
      <w:r w:rsidRPr="00D11C54">
        <w:rPr>
          <w:w w:val="105"/>
          <w:sz w:val="16"/>
          <w:lang w:val="el-GR"/>
        </w:rPr>
        <w:t>-</w:t>
      </w:r>
      <w:r w:rsidRPr="00623797">
        <w:rPr>
          <w:w w:val="105"/>
          <w:sz w:val="16"/>
        </w:rPr>
        <w:t>N</w:t>
      </w:r>
      <w:r w:rsidRPr="00D11C54">
        <w:rPr>
          <w:w w:val="105"/>
          <w:sz w:val="16"/>
          <w:lang w:val="el-GR"/>
        </w:rPr>
        <w:t xml:space="preserve"> = ερωτηματολόγιο διαπροσωπικής προσαρμογής—ναρκισσισμός· </w:t>
      </w:r>
      <w:r w:rsidRPr="00623797">
        <w:rPr>
          <w:w w:val="105"/>
          <w:sz w:val="16"/>
        </w:rPr>
        <w:t>IAQ</w:t>
      </w:r>
      <w:r w:rsidRPr="00D11C54">
        <w:rPr>
          <w:w w:val="105"/>
          <w:sz w:val="16"/>
          <w:lang w:val="el-GR"/>
        </w:rPr>
        <w:t>-</w:t>
      </w:r>
      <w:r w:rsidRPr="00623797">
        <w:rPr>
          <w:w w:val="105"/>
          <w:sz w:val="16"/>
        </w:rPr>
        <w:t>P</w:t>
      </w:r>
      <w:r w:rsidRPr="00D11C54">
        <w:rPr>
          <w:w w:val="105"/>
          <w:sz w:val="16"/>
          <w:lang w:val="el-GR"/>
        </w:rPr>
        <w:t xml:space="preserve"> = ερωτηματολόγιο διαπροσωπικής προσαρμογής – κοινωνική ανησυχία· </w:t>
      </w:r>
      <w:r w:rsidRPr="00623797">
        <w:rPr>
          <w:w w:val="105"/>
          <w:sz w:val="16"/>
        </w:rPr>
        <w:t>IAQ</w:t>
      </w:r>
      <w:r w:rsidRPr="00D11C54">
        <w:rPr>
          <w:w w:val="105"/>
          <w:sz w:val="16"/>
          <w:lang w:val="el-GR"/>
        </w:rPr>
        <w:t>-</w:t>
      </w:r>
      <w:r w:rsidRPr="00623797">
        <w:rPr>
          <w:w w:val="105"/>
          <w:sz w:val="16"/>
        </w:rPr>
        <w:t>S</w:t>
      </w:r>
      <w:r w:rsidRPr="00D11C54">
        <w:rPr>
          <w:w w:val="105"/>
          <w:sz w:val="16"/>
          <w:lang w:val="el-GR"/>
        </w:rPr>
        <w:t xml:space="preserve"> = ερωτηματολόγιο διαπροσωπικής προσαρμογής - άγχος στην κοινωνική κατάσταση. * Δοκιμή </w:t>
      </w:r>
      <w:r w:rsidRPr="00623797">
        <w:rPr>
          <w:w w:val="105"/>
          <w:sz w:val="16"/>
        </w:rPr>
        <w:t>Mann</w:t>
      </w:r>
      <w:r w:rsidRPr="00D11C54">
        <w:rPr>
          <w:w w:val="105"/>
          <w:sz w:val="16"/>
          <w:lang w:val="el-GR"/>
        </w:rPr>
        <w:t>-</w:t>
      </w:r>
      <w:r w:rsidRPr="00623797">
        <w:rPr>
          <w:w w:val="105"/>
          <w:sz w:val="16"/>
        </w:rPr>
        <w:t>Whitney</w:t>
      </w:r>
      <w:r w:rsidRPr="00D11C54">
        <w:rPr>
          <w:w w:val="105"/>
          <w:sz w:val="16"/>
          <w:lang w:val="el-GR"/>
        </w:rPr>
        <w:t xml:space="preserve"> </w:t>
      </w:r>
      <w:r w:rsidRPr="00623797">
        <w:rPr>
          <w:w w:val="105"/>
          <w:sz w:val="16"/>
        </w:rPr>
        <w:t>U</w:t>
      </w:r>
      <w:r w:rsidRPr="00D11C54">
        <w:rPr>
          <w:w w:val="105"/>
          <w:sz w:val="16"/>
          <w:lang w:val="el-GR"/>
        </w:rPr>
        <w:t>.</w:t>
      </w:r>
    </w:p>
    <w:p w14:paraId="050D0F7B" w14:textId="77777777" w:rsidR="00F5166D" w:rsidRPr="00D11C54" w:rsidRDefault="00623797">
      <w:pPr>
        <w:pStyle w:val="a3"/>
        <w:spacing w:before="175" w:line="249" w:lineRule="auto"/>
        <w:ind w:left="2721" w:right="130" w:firstLine="431"/>
        <w:jc w:val="both"/>
        <w:rPr>
          <w:lang w:val="el-GR"/>
        </w:rPr>
      </w:pPr>
      <w:r w:rsidRPr="00D11C54">
        <w:rPr>
          <w:lang w:val="el-GR"/>
        </w:rPr>
        <w:t xml:space="preserve">Όσον αφορά την υπόθεση </w:t>
      </w:r>
      <w:r>
        <w:t>H</w:t>
      </w:r>
      <w:r w:rsidRPr="00D11C54">
        <w:rPr>
          <w:lang w:val="el-GR"/>
        </w:rPr>
        <w:t xml:space="preserve">2 (οι έφηβοι με </w:t>
      </w:r>
      <w:r>
        <w:t>SLD</w:t>
      </w:r>
      <w:r w:rsidRPr="00D11C54">
        <w:rPr>
          <w:lang w:val="el-GR"/>
        </w:rPr>
        <w:t xml:space="preserve"> παρουσιάζουν χαμηλότερη γενική αυτο-αποτελεσματικότητα από τους εφήβους χωρίς </w:t>
      </w:r>
      <w:r>
        <w:t>SLD</w:t>
      </w:r>
      <w:r w:rsidRPr="00D11C54">
        <w:rPr>
          <w:lang w:val="el-GR"/>
        </w:rPr>
        <w:t xml:space="preserve">), ο Πίνακας </w:t>
      </w:r>
      <w:hyperlink w:anchor="_bookmark4" w:history="1">
        <w:r w:rsidRPr="00D11C54">
          <w:rPr>
            <w:color w:val="0774B7"/>
            <w:lang w:val="el-GR"/>
          </w:rPr>
          <w:t xml:space="preserve">4 </w:t>
        </w:r>
      </w:hyperlink>
      <w:r w:rsidRPr="00D11C54">
        <w:rPr>
          <w:lang w:val="el-GR"/>
        </w:rPr>
        <w:t xml:space="preserve">δείχνει ότι οι μαθητές </w:t>
      </w:r>
      <w:r>
        <w:t>SLD</w:t>
      </w:r>
      <w:r w:rsidRPr="00D11C54">
        <w:rPr>
          <w:lang w:val="el-GR"/>
        </w:rPr>
        <w:t xml:space="preserve"> παρουσιάζουν χαμηλότερη τιμή της βαθμολογίας </w:t>
      </w:r>
      <w:r>
        <w:t>GSE</w:t>
      </w:r>
      <w:r w:rsidRPr="00D11C54">
        <w:rPr>
          <w:lang w:val="el-GR"/>
        </w:rPr>
        <w:t xml:space="preserve"> </w:t>
      </w:r>
      <w:r>
        <w:t>TOT</w:t>
      </w:r>
      <w:r w:rsidRPr="00D11C54">
        <w:rPr>
          <w:lang w:val="el-GR"/>
        </w:rPr>
        <w:t xml:space="preserve"> από τους μαθητές χωρίς </w:t>
      </w:r>
      <w:r>
        <w:t>SLD</w:t>
      </w:r>
      <w:r w:rsidRPr="00D11C54">
        <w:rPr>
          <w:lang w:val="el-GR"/>
        </w:rPr>
        <w:t>. Ωστόσο, η διαφορά δεν είναι σημαντική (</w:t>
      </w:r>
      <w:r>
        <w:rPr>
          <w:rFonts w:ascii="Palatino Linotype"/>
          <w:i/>
        </w:rPr>
        <w:t>p</w:t>
      </w:r>
      <w:r w:rsidRPr="00D11C54">
        <w:rPr>
          <w:rFonts w:ascii="Palatino Linotype"/>
          <w:i/>
          <w:lang w:val="el-GR"/>
        </w:rPr>
        <w:t xml:space="preserve"> </w:t>
      </w:r>
      <w:r w:rsidRPr="00D11C54">
        <w:rPr>
          <w:lang w:val="el-GR"/>
        </w:rPr>
        <w:t>= 0,07). Επιπλέον, το μέγεθος του αποτελέσματος είναι εξαιρετικά μικρό.</w:t>
      </w:r>
    </w:p>
    <w:p w14:paraId="61178B0B" w14:textId="77777777" w:rsidR="00F5166D" w:rsidRPr="00D11C54" w:rsidRDefault="00F5166D">
      <w:pPr>
        <w:pStyle w:val="a3"/>
        <w:spacing w:before="8"/>
        <w:rPr>
          <w:sz w:val="21"/>
          <w:lang w:val="el-GR"/>
        </w:rPr>
      </w:pPr>
    </w:p>
    <w:p w14:paraId="5F3E0906" w14:textId="479FB624" w:rsidR="00F5166D" w:rsidRPr="00D11C54" w:rsidRDefault="00D11C54">
      <w:pPr>
        <w:ind w:left="2721"/>
        <w:jc w:val="both"/>
        <w:rPr>
          <w:sz w:val="18"/>
          <w:lang w:val="el-GR"/>
        </w:rPr>
      </w:pPr>
      <w:r>
        <w:rPr>
          <w:noProof/>
        </w:rPr>
        <mc:AlternateContent>
          <mc:Choice Requires="wps">
            <w:drawing>
              <wp:anchor distT="0" distB="0" distL="114300" distR="114300" simplePos="0" relativeHeight="15732224" behindDoc="0" locked="0" layoutInCell="1" allowOverlap="1" wp14:anchorId="5DC6CEC6" wp14:editId="70B76B63">
                <wp:simplePos x="0" y="0"/>
                <wp:positionH relativeFrom="page">
                  <wp:posOffset>2113280</wp:posOffset>
                </wp:positionH>
                <wp:positionV relativeFrom="paragraph">
                  <wp:posOffset>238125</wp:posOffset>
                </wp:positionV>
                <wp:extent cx="4989830" cy="407670"/>
                <wp:effectExtent l="0" t="0" r="0" b="0"/>
                <wp:wrapNone/>
                <wp:docPr id="163733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648"/>
                              <w:gridCol w:w="736"/>
                              <w:gridCol w:w="775"/>
                              <w:gridCol w:w="1455"/>
                              <w:gridCol w:w="2245"/>
                            </w:tblGrid>
                            <w:tr w:rsidR="00F5166D" w14:paraId="5ABC3F99" w14:textId="77777777">
                              <w:trPr>
                                <w:trHeight w:val="305"/>
                              </w:trPr>
                              <w:tc>
                                <w:tcPr>
                                  <w:tcW w:w="2648" w:type="dxa"/>
                                  <w:tcBorders>
                                    <w:top w:val="single" w:sz="8" w:space="0" w:color="000000"/>
                                    <w:bottom w:val="single" w:sz="4" w:space="0" w:color="000000"/>
                                  </w:tcBorders>
                                </w:tcPr>
                                <w:p w14:paraId="4C71FBCC" w14:textId="77777777" w:rsidR="00F5166D" w:rsidRDefault="00623797">
                                  <w:pPr>
                                    <w:pStyle w:val="TableParagraph"/>
                                    <w:spacing w:before="36"/>
                                    <w:ind w:right="37"/>
                                    <w:rPr>
                                      <w:b/>
                                      <w:sz w:val="18"/>
                                    </w:rPr>
                                  </w:pPr>
                                  <w:r>
                                    <w:rPr>
                                      <w:b/>
                                      <w:w w:val="115"/>
                                      <w:sz w:val="18"/>
                                    </w:rPr>
                                    <w:t>NO-SLD</w:t>
                                  </w:r>
                                </w:p>
                              </w:tc>
                              <w:tc>
                                <w:tcPr>
                                  <w:tcW w:w="2966" w:type="dxa"/>
                                  <w:gridSpan w:val="3"/>
                                  <w:tcBorders>
                                    <w:top w:val="single" w:sz="8" w:space="0" w:color="000000"/>
                                    <w:bottom w:val="single" w:sz="4" w:space="0" w:color="000000"/>
                                  </w:tcBorders>
                                </w:tcPr>
                                <w:p w14:paraId="4BD59375" w14:textId="77777777" w:rsidR="00F5166D" w:rsidRDefault="00623797">
                                  <w:pPr>
                                    <w:pStyle w:val="TableParagraph"/>
                                    <w:spacing w:before="36"/>
                                    <w:ind w:left="1657"/>
                                    <w:jc w:val="left"/>
                                    <w:rPr>
                                      <w:b/>
                                      <w:sz w:val="18"/>
                                    </w:rPr>
                                  </w:pPr>
                                  <w:r>
                                    <w:rPr>
                                      <w:b/>
                                      <w:w w:val="115"/>
                                      <w:sz w:val="18"/>
                                    </w:rPr>
                                    <w:t>SLD</w:t>
                                  </w:r>
                                </w:p>
                              </w:tc>
                              <w:tc>
                                <w:tcPr>
                                  <w:tcW w:w="2245" w:type="dxa"/>
                                  <w:tcBorders>
                                    <w:top w:val="single" w:sz="8" w:space="0" w:color="000000"/>
                                  </w:tcBorders>
                                </w:tcPr>
                                <w:p w14:paraId="5B86BAE1" w14:textId="77777777" w:rsidR="00F5166D" w:rsidRDefault="00623797">
                                  <w:pPr>
                                    <w:pStyle w:val="TableParagraph"/>
                                    <w:tabs>
                                      <w:tab w:val="left" w:pos="1597"/>
                                    </w:tabs>
                                    <w:spacing w:before="157" w:line="127" w:lineRule="exact"/>
                                    <w:ind w:left="455"/>
                                    <w:jc w:val="left"/>
                                    <w:rPr>
                                      <w:b/>
                                      <w:sz w:val="14"/>
                                    </w:rPr>
                                  </w:pPr>
                                  <w:r>
                                    <w:rPr>
                                      <w:rFonts w:ascii="Palatino Linotype" w:hAnsi="Palatino Linotype"/>
                                      <w:b/>
                                      <w:i/>
                                      <w:position w:val="2"/>
                                      <w:sz w:val="18"/>
                                    </w:rPr>
                                    <w:t>p</w:t>
                                  </w:r>
                                  <w:r>
                                    <w:rPr>
                                      <w:rFonts w:ascii="Palatino Linotype" w:hAnsi="Palatino Linotype"/>
                                      <w:b/>
                                      <w:i/>
                                      <w:spacing w:val="-2"/>
                                      <w:position w:val="2"/>
                                      <w:sz w:val="18"/>
                                    </w:rPr>
                                    <w:t xml:space="preserve"> </w:t>
                                  </w:r>
                                  <w:r>
                                    <w:rPr>
                                      <w:b/>
                                      <w:position w:val="2"/>
                                      <w:sz w:val="18"/>
                                    </w:rPr>
                                    <w:t>*</w:t>
                                  </w:r>
                                  <w:r>
                                    <w:rPr>
                                      <w:b/>
                                      <w:position w:val="2"/>
                                      <w:sz w:val="18"/>
                                    </w:rPr>
                                    <w:tab/>
                                  </w:r>
                                  <w:r>
                                    <w:rPr>
                                      <w:rFonts w:ascii="Calibri" w:hAnsi="Calibri"/>
                                      <w:b/>
                                      <w:i/>
                                      <w:sz w:val="18"/>
                                    </w:rPr>
                                    <w:t>η</w:t>
                                  </w:r>
                                  <w:r>
                                    <w:rPr>
                                      <w:b/>
                                      <w:position w:val="7"/>
                                      <w:sz w:val="14"/>
                                    </w:rPr>
                                    <w:t>2</w:t>
                                  </w:r>
                                </w:p>
                              </w:tc>
                            </w:tr>
                            <w:tr w:rsidR="00F5166D" w14:paraId="1319705B" w14:textId="77777777">
                              <w:trPr>
                                <w:trHeight w:val="305"/>
                              </w:trPr>
                              <w:tc>
                                <w:tcPr>
                                  <w:tcW w:w="2648" w:type="dxa"/>
                                  <w:tcBorders>
                                    <w:bottom w:val="single" w:sz="4" w:space="0" w:color="000000"/>
                                  </w:tcBorders>
                                </w:tcPr>
                                <w:p w14:paraId="02E0C613" w14:textId="77777777" w:rsidR="00F5166D" w:rsidRDefault="00623797">
                                  <w:pPr>
                                    <w:pStyle w:val="TableParagraph"/>
                                    <w:spacing w:before="15"/>
                                    <w:ind w:left="712"/>
                                    <w:jc w:val="center"/>
                                    <w:rPr>
                                      <w:rFonts w:ascii="Palatino Linotype"/>
                                      <w:b/>
                                      <w:i/>
                                      <w:sz w:val="18"/>
                                    </w:rPr>
                                  </w:pPr>
                                  <w:r>
                                    <w:rPr>
                                      <w:rFonts w:ascii="Palatino Linotype"/>
                                      <w:b/>
                                      <w:i/>
                                      <w:w w:val="99"/>
                                      <w:sz w:val="18"/>
                                    </w:rPr>
                                    <w:t>M</w:t>
                                  </w:r>
                                </w:p>
                              </w:tc>
                              <w:tc>
                                <w:tcPr>
                                  <w:tcW w:w="736" w:type="dxa"/>
                                  <w:tcBorders>
                                    <w:bottom w:val="single" w:sz="4" w:space="0" w:color="000000"/>
                                  </w:tcBorders>
                                </w:tcPr>
                                <w:p w14:paraId="041B7330" w14:textId="77777777" w:rsidR="00F5166D" w:rsidRDefault="00623797">
                                  <w:pPr>
                                    <w:pStyle w:val="TableParagraph"/>
                                    <w:spacing w:before="15"/>
                                    <w:ind w:left="38"/>
                                    <w:jc w:val="left"/>
                                    <w:rPr>
                                      <w:rFonts w:ascii="Palatino Linotype"/>
                                      <w:b/>
                                      <w:i/>
                                      <w:sz w:val="18"/>
                                    </w:rPr>
                                  </w:pPr>
                                  <w:r>
                                    <w:rPr>
                                      <w:rFonts w:ascii="Palatino Linotype"/>
                                      <w:b/>
                                      <w:i/>
                                      <w:sz w:val="18"/>
                                    </w:rPr>
                                    <w:t>SD</w:t>
                                  </w:r>
                                </w:p>
                              </w:tc>
                              <w:tc>
                                <w:tcPr>
                                  <w:tcW w:w="775" w:type="dxa"/>
                                  <w:tcBorders>
                                    <w:bottom w:val="single" w:sz="4" w:space="0" w:color="000000"/>
                                  </w:tcBorders>
                                </w:tcPr>
                                <w:p w14:paraId="2C1EB954" w14:textId="77777777" w:rsidR="00F5166D" w:rsidRDefault="00623797">
                                  <w:pPr>
                                    <w:pStyle w:val="TableParagraph"/>
                                    <w:spacing w:before="15"/>
                                    <w:ind w:left="456"/>
                                    <w:jc w:val="left"/>
                                    <w:rPr>
                                      <w:rFonts w:ascii="Palatino Linotype"/>
                                      <w:b/>
                                      <w:i/>
                                      <w:sz w:val="18"/>
                                    </w:rPr>
                                  </w:pPr>
                                  <w:r>
                                    <w:rPr>
                                      <w:rFonts w:ascii="Palatino Linotype"/>
                                      <w:b/>
                                      <w:i/>
                                      <w:w w:val="99"/>
                                      <w:sz w:val="18"/>
                                    </w:rPr>
                                    <w:t>M</w:t>
                                  </w:r>
                                </w:p>
                              </w:tc>
                              <w:tc>
                                <w:tcPr>
                                  <w:tcW w:w="3700" w:type="dxa"/>
                                  <w:gridSpan w:val="2"/>
                                  <w:tcBorders>
                                    <w:bottom w:val="single" w:sz="4" w:space="0" w:color="000000"/>
                                  </w:tcBorders>
                                </w:tcPr>
                                <w:p w14:paraId="31B8A186" w14:textId="77777777" w:rsidR="00F5166D" w:rsidRDefault="00623797">
                                  <w:pPr>
                                    <w:pStyle w:val="TableParagraph"/>
                                    <w:spacing w:before="15"/>
                                    <w:ind w:left="772"/>
                                    <w:jc w:val="left"/>
                                    <w:rPr>
                                      <w:rFonts w:ascii="Palatino Linotype"/>
                                      <w:b/>
                                      <w:i/>
                                      <w:sz w:val="18"/>
                                    </w:rPr>
                                  </w:pPr>
                                  <w:r>
                                    <w:rPr>
                                      <w:rFonts w:ascii="Palatino Linotype"/>
                                      <w:b/>
                                      <w:i/>
                                      <w:sz w:val="18"/>
                                    </w:rPr>
                                    <w:t>SD</w:t>
                                  </w:r>
                                </w:p>
                              </w:tc>
                            </w:tr>
                          </w:tbl>
                          <w:p w14:paraId="51F806A5" w14:textId="77777777" w:rsidR="00F5166D" w:rsidRDefault="00F5166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6CEC6" id="Text Box 6" o:spid="_x0000_s1027" type="#_x0000_t202" style="position:absolute;left:0;text-align:left;margin-left:166.4pt;margin-top:18.75pt;width:392.9pt;height:32.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" filled="f" stroked="f">
                <v:textbox inset="0,0,0,0">
                  <w:txbxContent>
                    <w:tbl>
                      <w:tblPr>
                        <w:tblStyle w:val="TableNormal"/>
                        <w:tblW w:w="0" w:type="auto"/>
                        <w:tblInd w:w="7" w:type="dxa"/>
                        <w:tblLayout w:type="fixed"/>
                        <w:tblLook w:val="01E0" w:firstRow="1" w:lastRow="1" w:firstColumn="1" w:lastColumn="1" w:noHBand="0" w:noVBand="0"/>
                      </w:tblPr>
                      <w:tblGrid>
                        <w:gridCol w:w="2648"/>
                        <w:gridCol w:w="736"/>
                        <w:gridCol w:w="775"/>
                        <w:gridCol w:w="1455"/>
                        <w:gridCol w:w="2245"/>
                      </w:tblGrid>
                      <w:tr w:rsidR="00F5166D" w14:paraId="5ABC3F99" w14:textId="77777777">
                        <w:trPr>
                          <w:trHeight w:val="305"/>
                        </w:trPr>
                        <w:tc>
                          <w:tcPr>
                            <w:tcW w:w="2648" w:type="dxa"/>
                            <w:tcBorders>
                              <w:top w:val="single" w:sz="8" w:space="0" w:color="000000"/>
                              <w:bottom w:val="single" w:sz="4" w:space="0" w:color="000000"/>
                            </w:tcBorders>
                          </w:tcPr>
                          <w:p w14:paraId="4C71FBCC" w14:textId="77777777" w:rsidR="00F5166D" w:rsidRDefault="00623797">
                            <w:pPr>
                              <w:pStyle w:val="TableParagraph"/>
                              <w:spacing w:before="36"/>
                              <w:ind w:right="37"/>
                              <w:rPr>
                                <w:b/>
                                <w:sz w:val="18"/>
                              </w:rPr>
                            </w:pPr>
                            <w:r>
                              <w:rPr>
                                <w:b/>
                                <w:w w:val="115"/>
                                <w:sz w:val="18"/>
                              </w:rPr>
                              <w:t>NO-SLD</w:t>
                            </w:r>
                          </w:p>
                        </w:tc>
                        <w:tc>
                          <w:tcPr>
                            <w:tcW w:w="2966" w:type="dxa"/>
                            <w:gridSpan w:val="3"/>
                            <w:tcBorders>
                              <w:top w:val="single" w:sz="8" w:space="0" w:color="000000"/>
                              <w:bottom w:val="single" w:sz="4" w:space="0" w:color="000000"/>
                            </w:tcBorders>
                          </w:tcPr>
                          <w:p w14:paraId="4BD59375" w14:textId="77777777" w:rsidR="00F5166D" w:rsidRDefault="00623797">
                            <w:pPr>
                              <w:pStyle w:val="TableParagraph"/>
                              <w:spacing w:before="36"/>
                              <w:ind w:left="1657"/>
                              <w:jc w:val="left"/>
                              <w:rPr>
                                <w:b/>
                                <w:sz w:val="18"/>
                              </w:rPr>
                            </w:pPr>
                            <w:r>
                              <w:rPr>
                                <w:b/>
                                <w:w w:val="115"/>
                                <w:sz w:val="18"/>
                              </w:rPr>
                              <w:t>SLD</w:t>
                            </w:r>
                          </w:p>
                        </w:tc>
                        <w:tc>
                          <w:tcPr>
                            <w:tcW w:w="2245" w:type="dxa"/>
                            <w:tcBorders>
                              <w:top w:val="single" w:sz="8" w:space="0" w:color="000000"/>
                            </w:tcBorders>
                          </w:tcPr>
                          <w:p w14:paraId="5B86BAE1" w14:textId="77777777" w:rsidR="00F5166D" w:rsidRDefault="00623797">
                            <w:pPr>
                              <w:pStyle w:val="TableParagraph"/>
                              <w:tabs>
                                <w:tab w:val="left" w:pos="1597"/>
                              </w:tabs>
                              <w:spacing w:before="157" w:line="127" w:lineRule="exact"/>
                              <w:ind w:left="455"/>
                              <w:jc w:val="left"/>
                              <w:rPr>
                                <w:b/>
                                <w:sz w:val="14"/>
                              </w:rPr>
                            </w:pPr>
                            <w:r>
                              <w:rPr>
                                <w:rFonts w:ascii="Palatino Linotype" w:hAnsi="Palatino Linotype"/>
                                <w:b/>
                                <w:i/>
                                <w:position w:val="2"/>
                                <w:sz w:val="18"/>
                              </w:rPr>
                              <w:t>p</w:t>
                            </w:r>
                            <w:r>
                              <w:rPr>
                                <w:rFonts w:ascii="Palatino Linotype" w:hAnsi="Palatino Linotype"/>
                                <w:b/>
                                <w:i/>
                                <w:spacing w:val="-2"/>
                                <w:position w:val="2"/>
                                <w:sz w:val="18"/>
                              </w:rPr>
                              <w:t xml:space="preserve"> </w:t>
                            </w:r>
                            <w:r>
                              <w:rPr>
                                <w:b/>
                                <w:position w:val="2"/>
                                <w:sz w:val="18"/>
                              </w:rPr>
                              <w:t>*</w:t>
                            </w:r>
                            <w:r>
                              <w:rPr>
                                <w:b/>
                                <w:position w:val="2"/>
                                <w:sz w:val="18"/>
                              </w:rPr>
                              <w:tab/>
                            </w:r>
                            <w:r>
                              <w:rPr>
                                <w:rFonts w:ascii="Calibri" w:hAnsi="Calibri"/>
                                <w:b/>
                                <w:i/>
                                <w:sz w:val="18"/>
                              </w:rPr>
                              <w:t>η</w:t>
                            </w:r>
                            <w:r>
                              <w:rPr>
                                <w:b/>
                                <w:position w:val="7"/>
                                <w:sz w:val="14"/>
                              </w:rPr>
                              <w:t>2</w:t>
                            </w:r>
                          </w:p>
                        </w:tc>
                      </w:tr>
                      <w:tr w:rsidR="00F5166D" w14:paraId="1319705B" w14:textId="77777777">
                        <w:trPr>
                          <w:trHeight w:val="305"/>
                        </w:trPr>
                        <w:tc>
                          <w:tcPr>
                            <w:tcW w:w="2648" w:type="dxa"/>
                            <w:tcBorders>
                              <w:bottom w:val="single" w:sz="4" w:space="0" w:color="000000"/>
                            </w:tcBorders>
                          </w:tcPr>
                          <w:p w14:paraId="02E0C613" w14:textId="77777777" w:rsidR="00F5166D" w:rsidRDefault="00623797">
                            <w:pPr>
                              <w:pStyle w:val="TableParagraph"/>
                              <w:spacing w:before="15"/>
                              <w:ind w:left="712"/>
                              <w:jc w:val="center"/>
                              <w:rPr>
                                <w:rFonts w:ascii="Palatino Linotype"/>
                                <w:b/>
                                <w:i/>
                                <w:sz w:val="18"/>
                              </w:rPr>
                            </w:pPr>
                            <w:r>
                              <w:rPr>
                                <w:rFonts w:ascii="Palatino Linotype"/>
                                <w:b/>
                                <w:i/>
                                <w:w w:val="99"/>
                                <w:sz w:val="18"/>
                              </w:rPr>
                              <w:t>M</w:t>
                            </w:r>
                          </w:p>
                        </w:tc>
                        <w:tc>
                          <w:tcPr>
                            <w:tcW w:w="736" w:type="dxa"/>
                            <w:tcBorders>
                              <w:bottom w:val="single" w:sz="4" w:space="0" w:color="000000"/>
                            </w:tcBorders>
                          </w:tcPr>
                          <w:p w14:paraId="041B7330" w14:textId="77777777" w:rsidR="00F5166D" w:rsidRDefault="00623797">
                            <w:pPr>
                              <w:pStyle w:val="TableParagraph"/>
                              <w:spacing w:before="15"/>
                              <w:ind w:left="38"/>
                              <w:jc w:val="left"/>
                              <w:rPr>
                                <w:rFonts w:ascii="Palatino Linotype"/>
                                <w:b/>
                                <w:i/>
                                <w:sz w:val="18"/>
                              </w:rPr>
                            </w:pPr>
                            <w:r>
                              <w:rPr>
                                <w:rFonts w:ascii="Palatino Linotype"/>
                                <w:b/>
                                <w:i/>
                                <w:sz w:val="18"/>
                              </w:rPr>
                              <w:t>SD</w:t>
                            </w:r>
                          </w:p>
                        </w:tc>
                        <w:tc>
                          <w:tcPr>
                            <w:tcW w:w="775" w:type="dxa"/>
                            <w:tcBorders>
                              <w:bottom w:val="single" w:sz="4" w:space="0" w:color="000000"/>
                            </w:tcBorders>
                          </w:tcPr>
                          <w:p w14:paraId="2C1EB954" w14:textId="77777777" w:rsidR="00F5166D" w:rsidRDefault="00623797">
                            <w:pPr>
                              <w:pStyle w:val="TableParagraph"/>
                              <w:spacing w:before="15"/>
                              <w:ind w:left="456"/>
                              <w:jc w:val="left"/>
                              <w:rPr>
                                <w:rFonts w:ascii="Palatino Linotype"/>
                                <w:b/>
                                <w:i/>
                                <w:sz w:val="18"/>
                              </w:rPr>
                            </w:pPr>
                            <w:r>
                              <w:rPr>
                                <w:rFonts w:ascii="Palatino Linotype"/>
                                <w:b/>
                                <w:i/>
                                <w:w w:val="99"/>
                                <w:sz w:val="18"/>
                              </w:rPr>
                              <w:t>M</w:t>
                            </w:r>
                          </w:p>
                        </w:tc>
                        <w:tc>
                          <w:tcPr>
                            <w:tcW w:w="3700" w:type="dxa"/>
                            <w:gridSpan w:val="2"/>
                            <w:tcBorders>
                              <w:bottom w:val="single" w:sz="4" w:space="0" w:color="000000"/>
                            </w:tcBorders>
                          </w:tcPr>
                          <w:p w14:paraId="31B8A186" w14:textId="77777777" w:rsidR="00F5166D" w:rsidRDefault="00623797">
                            <w:pPr>
                              <w:pStyle w:val="TableParagraph"/>
                              <w:spacing w:before="15"/>
                              <w:ind w:left="772"/>
                              <w:jc w:val="left"/>
                              <w:rPr>
                                <w:rFonts w:ascii="Palatino Linotype"/>
                                <w:b/>
                                <w:i/>
                                <w:sz w:val="18"/>
                              </w:rPr>
                            </w:pPr>
                            <w:r>
                              <w:rPr>
                                <w:rFonts w:ascii="Palatino Linotype"/>
                                <w:b/>
                                <w:i/>
                                <w:sz w:val="18"/>
                              </w:rPr>
                              <w:t>SD</w:t>
                            </w:r>
                          </w:p>
                        </w:tc>
                      </w:tr>
                    </w:tbl>
                    <w:p w14:paraId="51F806A5" w14:textId="77777777" w:rsidR="00F5166D" w:rsidRDefault="00F5166D">
                      <w:pPr>
                        <w:pStyle w:val="a3"/>
                      </w:pPr>
                    </w:p>
                  </w:txbxContent>
                </v:textbox>
                <w10:wrap anchorx="page"/>
              </v:shape>
            </w:pict>
          </mc:Fallback>
        </mc:AlternateContent>
      </w:r>
      <w:bookmarkStart w:id="17" w:name="_bookmark4"/>
      <w:bookmarkEnd w:id="17"/>
      <w:r w:rsidR="00623797" w:rsidRPr="00D11C54">
        <w:rPr>
          <w:b/>
          <w:spacing w:val="-1"/>
          <w:w w:val="105"/>
          <w:sz w:val="18"/>
          <w:lang w:val="el-GR"/>
        </w:rPr>
        <w:t xml:space="preserve">Πίνακας 4. </w:t>
      </w:r>
      <w:r w:rsidR="00623797" w:rsidRPr="00D11C54">
        <w:rPr>
          <w:spacing w:val="-1"/>
          <w:w w:val="105"/>
          <w:sz w:val="18"/>
          <w:lang w:val="el-GR"/>
        </w:rPr>
        <w:t xml:space="preserve">Διαφορές στις βαθμολογίες αυτο-αποτελεσματικότητας σε μαθητές με και χωρίς </w:t>
      </w:r>
      <w:r w:rsidR="00623797">
        <w:rPr>
          <w:spacing w:val="-1"/>
          <w:w w:val="105"/>
          <w:sz w:val="18"/>
        </w:rPr>
        <w:t>SLD</w:t>
      </w:r>
      <w:r w:rsidR="00623797" w:rsidRPr="00D11C54">
        <w:rPr>
          <w:spacing w:val="-1"/>
          <w:w w:val="105"/>
          <w:sz w:val="18"/>
          <w:lang w:val="el-GR"/>
        </w:rPr>
        <w:t>.</w:t>
      </w:r>
    </w:p>
    <w:p w14:paraId="69ED17D3" w14:textId="77777777" w:rsidR="00F5166D" w:rsidRPr="00D11C54" w:rsidRDefault="00623797">
      <w:pPr>
        <w:tabs>
          <w:tab w:val="left" w:pos="4209"/>
          <w:tab w:val="left" w:pos="5377"/>
          <w:tab w:val="left" w:pos="6454"/>
          <w:tab w:val="left" w:pos="7577"/>
          <w:tab w:val="left" w:pos="8744"/>
          <w:tab w:val="right" w:pos="10181"/>
        </w:tabs>
        <w:spacing w:before="841"/>
        <w:ind w:left="2917"/>
        <w:rPr>
          <w:sz w:val="18"/>
          <w:lang w:val="el-GR"/>
        </w:rPr>
      </w:pPr>
      <w:r>
        <w:rPr>
          <w:sz w:val="18"/>
        </w:rPr>
        <w:t>GSE</w:t>
      </w:r>
      <w:r w:rsidRPr="00D11C54">
        <w:rPr>
          <w:sz w:val="18"/>
          <w:lang w:val="el-GR"/>
        </w:rPr>
        <w:t xml:space="preserve"> </w:t>
      </w:r>
      <w:r>
        <w:rPr>
          <w:sz w:val="18"/>
        </w:rPr>
        <w:t>TOT</w:t>
      </w:r>
      <w:r w:rsidRPr="00D11C54">
        <w:rPr>
          <w:sz w:val="18"/>
          <w:lang w:val="el-GR"/>
        </w:rPr>
        <w:tab/>
        <w:t>28.52</w:t>
      </w:r>
      <w:r w:rsidRPr="00D11C54">
        <w:rPr>
          <w:sz w:val="18"/>
          <w:lang w:val="el-GR"/>
        </w:rPr>
        <w:tab/>
        <w:t>4.95</w:t>
      </w:r>
      <w:r w:rsidRPr="00D11C54">
        <w:rPr>
          <w:sz w:val="18"/>
          <w:lang w:val="el-GR"/>
        </w:rPr>
        <w:tab/>
        <w:t>25.90</w:t>
      </w:r>
      <w:r w:rsidRPr="00D11C54">
        <w:rPr>
          <w:sz w:val="18"/>
          <w:lang w:val="el-GR"/>
        </w:rPr>
        <w:tab/>
        <w:t>10.18</w:t>
      </w:r>
      <w:r w:rsidRPr="00D11C54">
        <w:rPr>
          <w:sz w:val="18"/>
          <w:lang w:val="el-GR"/>
        </w:rPr>
        <w:tab/>
        <w:t>0.07</w:t>
      </w:r>
      <w:r w:rsidRPr="00D11C54">
        <w:rPr>
          <w:rFonts w:ascii="Times New Roman"/>
          <w:sz w:val="18"/>
          <w:lang w:val="el-GR"/>
        </w:rPr>
        <w:tab/>
      </w:r>
      <w:r w:rsidRPr="00D11C54">
        <w:rPr>
          <w:sz w:val="18"/>
          <w:lang w:val="el-GR"/>
        </w:rPr>
        <w:t>0.01</w:t>
      </w:r>
    </w:p>
    <w:p w14:paraId="47B7E207" w14:textId="3183C747" w:rsidR="00F5166D" w:rsidRPr="00D11C54" w:rsidRDefault="00D11C54">
      <w:pPr>
        <w:spacing w:before="60"/>
        <w:ind w:left="2727"/>
        <w:jc w:val="both"/>
        <w:rPr>
          <w:sz w:val="16"/>
          <w:lang w:val="el-GR"/>
        </w:rPr>
      </w:pPr>
      <w:r>
        <w:rPr>
          <w:noProof/>
        </w:rPr>
        <mc:AlternateContent>
          <mc:Choice Requires="wps">
            <w:drawing>
              <wp:anchor distT="0" distB="0" distL="114300" distR="114300" simplePos="0" relativeHeight="15731712" behindDoc="0" locked="0" layoutInCell="1" allowOverlap="1" wp14:anchorId="2EF758D9" wp14:editId="17F873EB">
                <wp:simplePos x="0" y="0"/>
                <wp:positionH relativeFrom="page">
                  <wp:posOffset>2113280</wp:posOffset>
                </wp:positionH>
                <wp:positionV relativeFrom="paragraph">
                  <wp:posOffset>43815</wp:posOffset>
                </wp:positionV>
                <wp:extent cx="4989830" cy="0"/>
                <wp:effectExtent l="0" t="0" r="0" b="0"/>
                <wp:wrapNone/>
                <wp:docPr id="17593897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983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CE381" id="Line 5"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4pt,3.45pt" to="559.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" strokeweight=".28117mm">
                <w10:wrap anchorx="page"/>
              </v:line>
            </w:pict>
          </mc:Fallback>
        </mc:AlternateContent>
      </w:r>
      <w:r w:rsidR="00623797" w:rsidRPr="00D11C54">
        <w:rPr>
          <w:w w:val="105"/>
          <w:sz w:val="16"/>
          <w:lang w:val="el-GR"/>
        </w:rPr>
        <w:t xml:space="preserve">Σημειώσεις: </w:t>
      </w:r>
      <w:r w:rsidR="00623797">
        <w:rPr>
          <w:w w:val="105"/>
          <w:sz w:val="16"/>
        </w:rPr>
        <w:t>SLD</w:t>
      </w:r>
      <w:r w:rsidR="00623797" w:rsidRPr="00D11C54">
        <w:rPr>
          <w:w w:val="105"/>
          <w:sz w:val="16"/>
          <w:lang w:val="el-GR"/>
        </w:rPr>
        <w:t xml:space="preserve"> = ειδική μαθησιακή διαταραχή. </w:t>
      </w:r>
      <w:r w:rsidR="00623797">
        <w:rPr>
          <w:w w:val="105"/>
          <w:sz w:val="16"/>
        </w:rPr>
        <w:t>GSE</w:t>
      </w:r>
      <w:r w:rsidR="00623797" w:rsidRPr="00D11C54">
        <w:rPr>
          <w:w w:val="105"/>
          <w:sz w:val="16"/>
          <w:lang w:val="el-GR"/>
        </w:rPr>
        <w:t xml:space="preserve"> = γενική κλίμακα αυτοαποτελεσματικότητας. * Δοκιμή </w:t>
      </w:r>
      <w:r w:rsidR="00623797">
        <w:rPr>
          <w:w w:val="105"/>
          <w:sz w:val="16"/>
        </w:rPr>
        <w:t>Mann</w:t>
      </w:r>
      <w:r w:rsidR="00623797" w:rsidRPr="00D11C54">
        <w:rPr>
          <w:w w:val="105"/>
          <w:sz w:val="16"/>
          <w:lang w:val="el-GR"/>
        </w:rPr>
        <w:t>-</w:t>
      </w:r>
      <w:r w:rsidR="00623797">
        <w:rPr>
          <w:w w:val="105"/>
          <w:sz w:val="16"/>
        </w:rPr>
        <w:t>Whitney</w:t>
      </w:r>
      <w:r w:rsidR="00623797" w:rsidRPr="00D11C54">
        <w:rPr>
          <w:w w:val="105"/>
          <w:sz w:val="16"/>
          <w:lang w:val="el-GR"/>
        </w:rPr>
        <w:t xml:space="preserve"> </w:t>
      </w:r>
      <w:r w:rsidR="00623797">
        <w:rPr>
          <w:w w:val="105"/>
          <w:sz w:val="16"/>
        </w:rPr>
        <w:t>U</w:t>
      </w:r>
      <w:r w:rsidR="00623797" w:rsidRPr="00D11C54">
        <w:rPr>
          <w:w w:val="105"/>
          <w:sz w:val="16"/>
          <w:lang w:val="el-GR"/>
        </w:rPr>
        <w:t>.</w:t>
      </w:r>
    </w:p>
    <w:p w14:paraId="7467015A" w14:textId="77777777" w:rsidR="00F5166D" w:rsidRPr="00D11C54" w:rsidRDefault="00F5166D">
      <w:pPr>
        <w:jc w:val="both"/>
        <w:rPr>
          <w:sz w:val="16"/>
          <w:lang w:val="el-GR"/>
        </w:rPr>
        <w:sectPr w:rsidR="00F5166D" w:rsidRPr="00D11C54">
          <w:pgSz w:w="11910" w:h="16840"/>
          <w:pgMar w:top="1400" w:right="580" w:bottom="280" w:left="600" w:header="1109" w:footer="0" w:gutter="0"/>
          <w:cols w:space="720"/>
        </w:sectPr>
      </w:pPr>
    </w:p>
    <w:p w14:paraId="2EABDF98" w14:textId="77777777" w:rsidR="00F5166D" w:rsidRPr="00D11C54" w:rsidRDefault="00F5166D">
      <w:pPr>
        <w:pStyle w:val="a3"/>
        <w:rPr>
          <w:lang w:val="el-GR"/>
        </w:rPr>
      </w:pPr>
    </w:p>
    <w:p w14:paraId="12AD947A" w14:textId="77777777" w:rsidR="00F5166D" w:rsidRPr="00D11C54" w:rsidRDefault="00F5166D">
      <w:pPr>
        <w:pStyle w:val="a3"/>
        <w:spacing w:before="6"/>
        <w:rPr>
          <w:sz w:val="21"/>
          <w:lang w:val="el-GR"/>
        </w:rPr>
      </w:pPr>
    </w:p>
    <w:p w14:paraId="2825C006" w14:textId="77777777" w:rsidR="00F5166D" w:rsidRPr="00D11C54" w:rsidRDefault="00623797">
      <w:pPr>
        <w:pStyle w:val="a3"/>
        <w:spacing w:line="244" w:lineRule="auto"/>
        <w:ind w:left="2722" w:right="131" w:firstLine="430"/>
        <w:jc w:val="both"/>
        <w:rPr>
          <w:lang w:val="el-GR"/>
        </w:rPr>
      </w:pPr>
      <w:r w:rsidRPr="00D11C54">
        <w:rPr>
          <w:lang w:val="el-GR"/>
        </w:rPr>
        <w:t xml:space="preserve">Όσον αφορά την υπόθεση </w:t>
      </w:r>
      <w:r>
        <w:t>H</w:t>
      </w:r>
      <w:r w:rsidRPr="00D11C54">
        <w:rPr>
          <w:lang w:val="el-GR"/>
        </w:rPr>
        <w:t xml:space="preserve">3 (οι έφηβοι με </w:t>
      </w:r>
      <w:r>
        <w:t>SLD</w:t>
      </w:r>
      <w:r w:rsidRPr="00D11C54">
        <w:rPr>
          <w:lang w:val="el-GR"/>
        </w:rPr>
        <w:t xml:space="preserve"> αναφέρουν χαμηλότερες μεταγνωστικές δεξιότητες από τους εφήβους χωρίς </w:t>
      </w:r>
      <w:r>
        <w:t>SLD</w:t>
      </w:r>
      <w:r w:rsidRPr="00D11C54">
        <w:rPr>
          <w:lang w:val="el-GR"/>
        </w:rPr>
        <w:t xml:space="preserve">), ο Πίνακας </w:t>
      </w:r>
      <w:hyperlink w:anchor="_bookmark5" w:history="1">
        <w:r w:rsidRPr="00D11C54">
          <w:rPr>
            <w:color w:val="0774B7"/>
            <w:lang w:val="el-GR"/>
          </w:rPr>
          <w:t xml:space="preserve">5 </w:t>
        </w:r>
      </w:hyperlink>
      <w:r w:rsidRPr="00D11C54">
        <w:rPr>
          <w:lang w:val="el-GR"/>
        </w:rPr>
        <w:t xml:space="preserve">δείχνει ότι οι μαθητές </w:t>
      </w:r>
      <w:r>
        <w:t>SLD</w:t>
      </w:r>
      <w:r w:rsidRPr="00D11C54">
        <w:rPr>
          <w:lang w:val="el-GR"/>
        </w:rPr>
        <w:t xml:space="preserve"> παρουσιάζουν τιμές </w:t>
      </w:r>
      <w:r>
        <w:t>MSS</w:t>
      </w:r>
      <w:r w:rsidRPr="00D11C54">
        <w:rPr>
          <w:lang w:val="el-GR"/>
        </w:rPr>
        <w:t xml:space="preserve"> </w:t>
      </w:r>
      <w:r>
        <w:t>TOT</w:t>
      </w:r>
      <w:r w:rsidRPr="00D11C54">
        <w:rPr>
          <w:lang w:val="el-GR"/>
        </w:rPr>
        <w:t xml:space="preserve"> υψηλότερες από τους μαθητές χωρίς </w:t>
      </w:r>
      <w:r>
        <w:t>SLD</w:t>
      </w:r>
      <w:r w:rsidRPr="00D11C54">
        <w:rPr>
          <w:lang w:val="el-GR"/>
        </w:rPr>
        <w:t>. Η διαφορά είναι σημαντική (</w:t>
      </w:r>
      <w:r>
        <w:rPr>
          <w:rFonts w:ascii="Palatino Linotype"/>
          <w:i/>
        </w:rPr>
        <w:t>p</w:t>
      </w:r>
      <w:r w:rsidRPr="00D11C54">
        <w:rPr>
          <w:rFonts w:ascii="Palatino Linotype"/>
          <w:i/>
          <w:lang w:val="el-GR"/>
        </w:rPr>
        <w:t xml:space="preserve"> </w:t>
      </w:r>
      <w:r w:rsidRPr="00D11C54">
        <w:rPr>
          <w:lang w:val="el-GR"/>
        </w:rPr>
        <w:t>&lt; 0,001), αλλά το μέγεθος του αποτελέσματος είναι εξαιρετικά μικρό.</w:t>
      </w:r>
    </w:p>
    <w:p w14:paraId="4B446665" w14:textId="77777777" w:rsidR="00F5166D" w:rsidRPr="00D11C54" w:rsidRDefault="00F5166D">
      <w:pPr>
        <w:pStyle w:val="a3"/>
        <w:spacing w:before="5"/>
        <w:rPr>
          <w:sz w:val="23"/>
          <w:lang w:val="el-GR"/>
        </w:rPr>
      </w:pPr>
    </w:p>
    <w:p w14:paraId="1A18FDB8" w14:textId="1D4513B8" w:rsidR="00F5166D" w:rsidRPr="00D11C54" w:rsidRDefault="00D11C54">
      <w:pPr>
        <w:ind w:left="2721"/>
        <w:rPr>
          <w:sz w:val="18"/>
          <w:lang w:val="el-GR"/>
        </w:rPr>
      </w:pPr>
      <w:r>
        <w:rPr>
          <w:noProof/>
        </w:rPr>
        <mc:AlternateContent>
          <mc:Choice Requires="wps">
            <w:drawing>
              <wp:anchor distT="0" distB="0" distL="114300" distR="114300" simplePos="0" relativeHeight="15733760" behindDoc="0" locked="0" layoutInCell="1" allowOverlap="1" wp14:anchorId="62184B48" wp14:editId="2CFA66C3">
                <wp:simplePos x="0" y="0"/>
                <wp:positionH relativeFrom="page">
                  <wp:posOffset>2113280</wp:posOffset>
                </wp:positionH>
                <wp:positionV relativeFrom="paragraph">
                  <wp:posOffset>238125</wp:posOffset>
                </wp:positionV>
                <wp:extent cx="4989830" cy="407670"/>
                <wp:effectExtent l="0" t="0" r="0" b="0"/>
                <wp:wrapNone/>
                <wp:docPr id="1355585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648"/>
                              <w:gridCol w:w="736"/>
                              <w:gridCol w:w="775"/>
                              <w:gridCol w:w="1455"/>
                              <w:gridCol w:w="2245"/>
                            </w:tblGrid>
                            <w:tr w:rsidR="00F5166D" w14:paraId="49D7E58F" w14:textId="77777777">
                              <w:trPr>
                                <w:trHeight w:val="305"/>
                              </w:trPr>
                              <w:tc>
                                <w:tcPr>
                                  <w:tcW w:w="2648" w:type="dxa"/>
                                  <w:tcBorders>
                                    <w:top w:val="single" w:sz="8" w:space="0" w:color="000000"/>
                                    <w:bottom w:val="single" w:sz="4" w:space="0" w:color="000000"/>
                                  </w:tcBorders>
                                </w:tcPr>
                                <w:p w14:paraId="0105723E" w14:textId="77777777" w:rsidR="00F5166D" w:rsidRDefault="00623797">
                                  <w:pPr>
                                    <w:pStyle w:val="TableParagraph"/>
                                    <w:spacing w:before="36"/>
                                    <w:ind w:right="37"/>
                                    <w:rPr>
                                      <w:b/>
                                      <w:sz w:val="18"/>
                                    </w:rPr>
                                  </w:pPr>
                                  <w:r>
                                    <w:rPr>
                                      <w:b/>
                                      <w:w w:val="115"/>
                                      <w:sz w:val="18"/>
                                    </w:rPr>
                                    <w:t>NO-SLD</w:t>
                                  </w:r>
                                </w:p>
                              </w:tc>
                              <w:tc>
                                <w:tcPr>
                                  <w:tcW w:w="2966" w:type="dxa"/>
                                  <w:gridSpan w:val="3"/>
                                  <w:tcBorders>
                                    <w:top w:val="single" w:sz="8" w:space="0" w:color="000000"/>
                                    <w:bottom w:val="single" w:sz="4" w:space="0" w:color="000000"/>
                                  </w:tcBorders>
                                </w:tcPr>
                                <w:p w14:paraId="48FC6CA5" w14:textId="77777777" w:rsidR="00F5166D" w:rsidRDefault="00623797">
                                  <w:pPr>
                                    <w:pStyle w:val="TableParagraph"/>
                                    <w:spacing w:before="36"/>
                                    <w:ind w:left="1657"/>
                                    <w:jc w:val="left"/>
                                    <w:rPr>
                                      <w:b/>
                                      <w:sz w:val="18"/>
                                    </w:rPr>
                                  </w:pPr>
                                  <w:r>
                                    <w:rPr>
                                      <w:b/>
                                      <w:w w:val="115"/>
                                      <w:sz w:val="18"/>
                                    </w:rPr>
                                    <w:t>SLD</w:t>
                                  </w:r>
                                </w:p>
                              </w:tc>
                              <w:tc>
                                <w:tcPr>
                                  <w:tcW w:w="2245" w:type="dxa"/>
                                  <w:tcBorders>
                                    <w:top w:val="single" w:sz="8" w:space="0" w:color="000000"/>
                                  </w:tcBorders>
                                </w:tcPr>
                                <w:p w14:paraId="16E0D1A8" w14:textId="77777777" w:rsidR="00F5166D" w:rsidRDefault="00623797">
                                  <w:pPr>
                                    <w:pStyle w:val="TableParagraph"/>
                                    <w:tabs>
                                      <w:tab w:val="left" w:pos="1597"/>
                                    </w:tabs>
                                    <w:spacing w:before="157" w:line="127" w:lineRule="exact"/>
                                    <w:ind w:left="455"/>
                                    <w:jc w:val="left"/>
                                    <w:rPr>
                                      <w:b/>
                                      <w:sz w:val="14"/>
                                    </w:rPr>
                                  </w:pPr>
                                  <w:r>
                                    <w:rPr>
                                      <w:rFonts w:ascii="Palatino Linotype" w:hAnsi="Palatino Linotype"/>
                                      <w:b/>
                                      <w:i/>
                                      <w:position w:val="2"/>
                                      <w:sz w:val="18"/>
                                    </w:rPr>
                                    <w:t>p</w:t>
                                  </w:r>
                                  <w:r>
                                    <w:rPr>
                                      <w:rFonts w:ascii="Palatino Linotype" w:hAnsi="Palatino Linotype"/>
                                      <w:b/>
                                      <w:i/>
                                      <w:spacing w:val="-2"/>
                                      <w:position w:val="2"/>
                                      <w:sz w:val="18"/>
                                    </w:rPr>
                                    <w:t xml:space="preserve"> </w:t>
                                  </w:r>
                                  <w:r>
                                    <w:rPr>
                                      <w:b/>
                                      <w:position w:val="2"/>
                                      <w:sz w:val="18"/>
                                    </w:rPr>
                                    <w:t>*</w:t>
                                  </w:r>
                                  <w:r>
                                    <w:rPr>
                                      <w:b/>
                                      <w:position w:val="2"/>
                                      <w:sz w:val="18"/>
                                    </w:rPr>
                                    <w:tab/>
                                  </w:r>
                                  <w:r>
                                    <w:rPr>
                                      <w:rFonts w:ascii="Calibri" w:hAnsi="Calibri"/>
                                      <w:b/>
                                      <w:i/>
                                      <w:sz w:val="18"/>
                                    </w:rPr>
                                    <w:t>η</w:t>
                                  </w:r>
                                  <w:r>
                                    <w:rPr>
                                      <w:b/>
                                      <w:position w:val="7"/>
                                      <w:sz w:val="14"/>
                                    </w:rPr>
                                    <w:t>2</w:t>
                                  </w:r>
                                </w:p>
                              </w:tc>
                            </w:tr>
                            <w:tr w:rsidR="00F5166D" w14:paraId="0A336742" w14:textId="77777777">
                              <w:trPr>
                                <w:trHeight w:val="305"/>
                              </w:trPr>
                              <w:tc>
                                <w:tcPr>
                                  <w:tcW w:w="2648" w:type="dxa"/>
                                  <w:tcBorders>
                                    <w:bottom w:val="single" w:sz="4" w:space="0" w:color="000000"/>
                                  </w:tcBorders>
                                </w:tcPr>
                                <w:p w14:paraId="7A8E7C62" w14:textId="77777777" w:rsidR="00F5166D" w:rsidRDefault="00623797">
                                  <w:pPr>
                                    <w:pStyle w:val="TableParagraph"/>
                                    <w:spacing w:before="15"/>
                                    <w:ind w:left="712"/>
                                    <w:jc w:val="center"/>
                                    <w:rPr>
                                      <w:rFonts w:ascii="Palatino Linotype"/>
                                      <w:b/>
                                      <w:i/>
                                      <w:sz w:val="18"/>
                                    </w:rPr>
                                  </w:pPr>
                                  <w:r>
                                    <w:rPr>
                                      <w:rFonts w:ascii="Palatino Linotype"/>
                                      <w:b/>
                                      <w:i/>
                                      <w:w w:val="99"/>
                                      <w:sz w:val="18"/>
                                    </w:rPr>
                                    <w:t>M</w:t>
                                  </w:r>
                                </w:p>
                              </w:tc>
                              <w:tc>
                                <w:tcPr>
                                  <w:tcW w:w="736" w:type="dxa"/>
                                  <w:tcBorders>
                                    <w:bottom w:val="single" w:sz="4" w:space="0" w:color="000000"/>
                                  </w:tcBorders>
                                </w:tcPr>
                                <w:p w14:paraId="4746A8D9" w14:textId="77777777" w:rsidR="00F5166D" w:rsidRDefault="00623797">
                                  <w:pPr>
                                    <w:pStyle w:val="TableParagraph"/>
                                    <w:spacing w:before="15"/>
                                    <w:ind w:left="38"/>
                                    <w:jc w:val="left"/>
                                    <w:rPr>
                                      <w:rFonts w:ascii="Palatino Linotype"/>
                                      <w:b/>
                                      <w:i/>
                                      <w:sz w:val="18"/>
                                    </w:rPr>
                                  </w:pPr>
                                  <w:r>
                                    <w:rPr>
                                      <w:rFonts w:ascii="Palatino Linotype"/>
                                      <w:b/>
                                      <w:i/>
                                      <w:sz w:val="18"/>
                                    </w:rPr>
                                    <w:t>SD</w:t>
                                  </w:r>
                                </w:p>
                              </w:tc>
                              <w:tc>
                                <w:tcPr>
                                  <w:tcW w:w="775" w:type="dxa"/>
                                  <w:tcBorders>
                                    <w:bottom w:val="single" w:sz="4" w:space="0" w:color="000000"/>
                                  </w:tcBorders>
                                </w:tcPr>
                                <w:p w14:paraId="7CC86060" w14:textId="77777777" w:rsidR="00F5166D" w:rsidRDefault="00623797">
                                  <w:pPr>
                                    <w:pStyle w:val="TableParagraph"/>
                                    <w:spacing w:before="15"/>
                                    <w:ind w:left="456"/>
                                    <w:jc w:val="left"/>
                                    <w:rPr>
                                      <w:rFonts w:ascii="Palatino Linotype"/>
                                      <w:b/>
                                      <w:i/>
                                      <w:sz w:val="18"/>
                                    </w:rPr>
                                  </w:pPr>
                                  <w:r>
                                    <w:rPr>
                                      <w:rFonts w:ascii="Palatino Linotype"/>
                                      <w:b/>
                                      <w:i/>
                                      <w:w w:val="99"/>
                                      <w:sz w:val="18"/>
                                    </w:rPr>
                                    <w:t>M</w:t>
                                  </w:r>
                                </w:p>
                              </w:tc>
                              <w:tc>
                                <w:tcPr>
                                  <w:tcW w:w="3700" w:type="dxa"/>
                                  <w:gridSpan w:val="2"/>
                                  <w:tcBorders>
                                    <w:bottom w:val="single" w:sz="4" w:space="0" w:color="000000"/>
                                  </w:tcBorders>
                                </w:tcPr>
                                <w:p w14:paraId="2E263105" w14:textId="77777777" w:rsidR="00F5166D" w:rsidRDefault="00623797">
                                  <w:pPr>
                                    <w:pStyle w:val="TableParagraph"/>
                                    <w:spacing w:before="15"/>
                                    <w:ind w:left="772"/>
                                    <w:jc w:val="left"/>
                                    <w:rPr>
                                      <w:rFonts w:ascii="Palatino Linotype"/>
                                      <w:b/>
                                      <w:i/>
                                      <w:sz w:val="18"/>
                                    </w:rPr>
                                  </w:pPr>
                                  <w:r>
                                    <w:rPr>
                                      <w:rFonts w:ascii="Palatino Linotype"/>
                                      <w:b/>
                                      <w:i/>
                                      <w:sz w:val="18"/>
                                    </w:rPr>
                                    <w:t>SD</w:t>
                                  </w:r>
                                </w:p>
                              </w:tc>
                            </w:tr>
                          </w:tbl>
                          <w:p w14:paraId="710D0BAA" w14:textId="77777777" w:rsidR="00F5166D" w:rsidRDefault="00F5166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84B48" id="Text Box 4" o:spid="_x0000_s1028" type="#_x0000_t202" style="position:absolute;left:0;text-align:left;margin-left:166.4pt;margin-top:18.75pt;width:392.9pt;height:32.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" filled="f" stroked="f">
                <v:textbox inset="0,0,0,0">
                  <w:txbxContent>
                    <w:tbl>
                      <w:tblPr>
                        <w:tblStyle w:val="TableNormal"/>
                        <w:tblW w:w="0" w:type="auto"/>
                        <w:tblInd w:w="7" w:type="dxa"/>
                        <w:tblLayout w:type="fixed"/>
                        <w:tblLook w:val="01E0" w:firstRow="1" w:lastRow="1" w:firstColumn="1" w:lastColumn="1" w:noHBand="0" w:noVBand="0"/>
                      </w:tblPr>
                      <w:tblGrid>
                        <w:gridCol w:w="2648"/>
                        <w:gridCol w:w="736"/>
                        <w:gridCol w:w="775"/>
                        <w:gridCol w:w="1455"/>
                        <w:gridCol w:w="2245"/>
                      </w:tblGrid>
                      <w:tr w:rsidR="00F5166D" w14:paraId="49D7E58F" w14:textId="77777777">
                        <w:trPr>
                          <w:trHeight w:val="305"/>
                        </w:trPr>
                        <w:tc>
                          <w:tcPr>
                            <w:tcW w:w="2648" w:type="dxa"/>
                            <w:tcBorders>
                              <w:top w:val="single" w:sz="8" w:space="0" w:color="000000"/>
                              <w:bottom w:val="single" w:sz="4" w:space="0" w:color="000000"/>
                            </w:tcBorders>
                          </w:tcPr>
                          <w:p w14:paraId="0105723E" w14:textId="77777777" w:rsidR="00F5166D" w:rsidRDefault="00623797">
                            <w:pPr>
                              <w:pStyle w:val="TableParagraph"/>
                              <w:spacing w:before="36"/>
                              <w:ind w:right="37"/>
                              <w:rPr>
                                <w:b/>
                                <w:sz w:val="18"/>
                              </w:rPr>
                            </w:pPr>
                            <w:r>
                              <w:rPr>
                                <w:b/>
                                <w:w w:val="115"/>
                                <w:sz w:val="18"/>
                              </w:rPr>
                              <w:t>NO-SLD</w:t>
                            </w:r>
                          </w:p>
                        </w:tc>
                        <w:tc>
                          <w:tcPr>
                            <w:tcW w:w="2966" w:type="dxa"/>
                            <w:gridSpan w:val="3"/>
                            <w:tcBorders>
                              <w:top w:val="single" w:sz="8" w:space="0" w:color="000000"/>
                              <w:bottom w:val="single" w:sz="4" w:space="0" w:color="000000"/>
                            </w:tcBorders>
                          </w:tcPr>
                          <w:p w14:paraId="48FC6CA5" w14:textId="77777777" w:rsidR="00F5166D" w:rsidRDefault="00623797">
                            <w:pPr>
                              <w:pStyle w:val="TableParagraph"/>
                              <w:spacing w:before="36"/>
                              <w:ind w:left="1657"/>
                              <w:jc w:val="left"/>
                              <w:rPr>
                                <w:b/>
                                <w:sz w:val="18"/>
                              </w:rPr>
                            </w:pPr>
                            <w:r>
                              <w:rPr>
                                <w:b/>
                                <w:w w:val="115"/>
                                <w:sz w:val="18"/>
                              </w:rPr>
                              <w:t>SLD</w:t>
                            </w:r>
                          </w:p>
                        </w:tc>
                        <w:tc>
                          <w:tcPr>
                            <w:tcW w:w="2245" w:type="dxa"/>
                            <w:tcBorders>
                              <w:top w:val="single" w:sz="8" w:space="0" w:color="000000"/>
                            </w:tcBorders>
                          </w:tcPr>
                          <w:p w14:paraId="16E0D1A8" w14:textId="77777777" w:rsidR="00F5166D" w:rsidRDefault="00623797">
                            <w:pPr>
                              <w:pStyle w:val="TableParagraph"/>
                              <w:tabs>
                                <w:tab w:val="left" w:pos="1597"/>
                              </w:tabs>
                              <w:spacing w:before="157" w:line="127" w:lineRule="exact"/>
                              <w:ind w:left="455"/>
                              <w:jc w:val="left"/>
                              <w:rPr>
                                <w:b/>
                                <w:sz w:val="14"/>
                              </w:rPr>
                            </w:pPr>
                            <w:r>
                              <w:rPr>
                                <w:rFonts w:ascii="Palatino Linotype" w:hAnsi="Palatino Linotype"/>
                                <w:b/>
                                <w:i/>
                                <w:position w:val="2"/>
                                <w:sz w:val="18"/>
                              </w:rPr>
                              <w:t>p</w:t>
                            </w:r>
                            <w:r>
                              <w:rPr>
                                <w:rFonts w:ascii="Palatino Linotype" w:hAnsi="Palatino Linotype"/>
                                <w:b/>
                                <w:i/>
                                <w:spacing w:val="-2"/>
                                <w:position w:val="2"/>
                                <w:sz w:val="18"/>
                              </w:rPr>
                              <w:t xml:space="preserve"> </w:t>
                            </w:r>
                            <w:r>
                              <w:rPr>
                                <w:b/>
                                <w:position w:val="2"/>
                                <w:sz w:val="18"/>
                              </w:rPr>
                              <w:t>*</w:t>
                            </w:r>
                            <w:r>
                              <w:rPr>
                                <w:b/>
                                <w:position w:val="2"/>
                                <w:sz w:val="18"/>
                              </w:rPr>
                              <w:tab/>
                            </w:r>
                            <w:r>
                              <w:rPr>
                                <w:rFonts w:ascii="Calibri" w:hAnsi="Calibri"/>
                                <w:b/>
                                <w:i/>
                                <w:sz w:val="18"/>
                              </w:rPr>
                              <w:t>η</w:t>
                            </w:r>
                            <w:r>
                              <w:rPr>
                                <w:b/>
                                <w:position w:val="7"/>
                                <w:sz w:val="14"/>
                              </w:rPr>
                              <w:t>2</w:t>
                            </w:r>
                          </w:p>
                        </w:tc>
                      </w:tr>
                      <w:tr w:rsidR="00F5166D" w14:paraId="0A336742" w14:textId="77777777">
                        <w:trPr>
                          <w:trHeight w:val="305"/>
                        </w:trPr>
                        <w:tc>
                          <w:tcPr>
                            <w:tcW w:w="2648" w:type="dxa"/>
                            <w:tcBorders>
                              <w:bottom w:val="single" w:sz="4" w:space="0" w:color="000000"/>
                            </w:tcBorders>
                          </w:tcPr>
                          <w:p w14:paraId="7A8E7C62" w14:textId="77777777" w:rsidR="00F5166D" w:rsidRDefault="00623797">
                            <w:pPr>
                              <w:pStyle w:val="TableParagraph"/>
                              <w:spacing w:before="15"/>
                              <w:ind w:left="712"/>
                              <w:jc w:val="center"/>
                              <w:rPr>
                                <w:rFonts w:ascii="Palatino Linotype"/>
                                <w:b/>
                                <w:i/>
                                <w:sz w:val="18"/>
                              </w:rPr>
                            </w:pPr>
                            <w:r>
                              <w:rPr>
                                <w:rFonts w:ascii="Palatino Linotype"/>
                                <w:b/>
                                <w:i/>
                                <w:w w:val="99"/>
                                <w:sz w:val="18"/>
                              </w:rPr>
                              <w:t>M</w:t>
                            </w:r>
                          </w:p>
                        </w:tc>
                        <w:tc>
                          <w:tcPr>
                            <w:tcW w:w="736" w:type="dxa"/>
                            <w:tcBorders>
                              <w:bottom w:val="single" w:sz="4" w:space="0" w:color="000000"/>
                            </w:tcBorders>
                          </w:tcPr>
                          <w:p w14:paraId="4746A8D9" w14:textId="77777777" w:rsidR="00F5166D" w:rsidRDefault="00623797">
                            <w:pPr>
                              <w:pStyle w:val="TableParagraph"/>
                              <w:spacing w:before="15"/>
                              <w:ind w:left="38"/>
                              <w:jc w:val="left"/>
                              <w:rPr>
                                <w:rFonts w:ascii="Palatino Linotype"/>
                                <w:b/>
                                <w:i/>
                                <w:sz w:val="18"/>
                              </w:rPr>
                            </w:pPr>
                            <w:r>
                              <w:rPr>
                                <w:rFonts w:ascii="Palatino Linotype"/>
                                <w:b/>
                                <w:i/>
                                <w:sz w:val="18"/>
                              </w:rPr>
                              <w:t>SD</w:t>
                            </w:r>
                          </w:p>
                        </w:tc>
                        <w:tc>
                          <w:tcPr>
                            <w:tcW w:w="775" w:type="dxa"/>
                            <w:tcBorders>
                              <w:bottom w:val="single" w:sz="4" w:space="0" w:color="000000"/>
                            </w:tcBorders>
                          </w:tcPr>
                          <w:p w14:paraId="7CC86060" w14:textId="77777777" w:rsidR="00F5166D" w:rsidRDefault="00623797">
                            <w:pPr>
                              <w:pStyle w:val="TableParagraph"/>
                              <w:spacing w:before="15"/>
                              <w:ind w:left="456"/>
                              <w:jc w:val="left"/>
                              <w:rPr>
                                <w:rFonts w:ascii="Palatino Linotype"/>
                                <w:b/>
                                <w:i/>
                                <w:sz w:val="18"/>
                              </w:rPr>
                            </w:pPr>
                            <w:r>
                              <w:rPr>
                                <w:rFonts w:ascii="Palatino Linotype"/>
                                <w:b/>
                                <w:i/>
                                <w:w w:val="99"/>
                                <w:sz w:val="18"/>
                              </w:rPr>
                              <w:t>M</w:t>
                            </w:r>
                          </w:p>
                        </w:tc>
                        <w:tc>
                          <w:tcPr>
                            <w:tcW w:w="3700" w:type="dxa"/>
                            <w:gridSpan w:val="2"/>
                            <w:tcBorders>
                              <w:bottom w:val="single" w:sz="4" w:space="0" w:color="000000"/>
                            </w:tcBorders>
                          </w:tcPr>
                          <w:p w14:paraId="2E263105" w14:textId="77777777" w:rsidR="00F5166D" w:rsidRDefault="00623797">
                            <w:pPr>
                              <w:pStyle w:val="TableParagraph"/>
                              <w:spacing w:before="15"/>
                              <w:ind w:left="772"/>
                              <w:jc w:val="left"/>
                              <w:rPr>
                                <w:rFonts w:ascii="Palatino Linotype"/>
                                <w:b/>
                                <w:i/>
                                <w:sz w:val="18"/>
                              </w:rPr>
                            </w:pPr>
                            <w:r>
                              <w:rPr>
                                <w:rFonts w:ascii="Palatino Linotype"/>
                                <w:b/>
                                <w:i/>
                                <w:sz w:val="18"/>
                              </w:rPr>
                              <w:t>SD</w:t>
                            </w:r>
                          </w:p>
                        </w:tc>
                      </w:tr>
                    </w:tbl>
                    <w:p w14:paraId="710D0BAA" w14:textId="77777777" w:rsidR="00F5166D" w:rsidRDefault="00F5166D">
                      <w:pPr>
                        <w:pStyle w:val="a3"/>
                      </w:pPr>
                    </w:p>
                  </w:txbxContent>
                </v:textbox>
                <w10:wrap anchorx="page"/>
              </v:shape>
            </w:pict>
          </mc:Fallback>
        </mc:AlternateContent>
      </w:r>
      <w:bookmarkStart w:id="18" w:name="_bookmark5"/>
      <w:bookmarkEnd w:id="18"/>
      <w:r w:rsidR="00623797" w:rsidRPr="00D11C54">
        <w:rPr>
          <w:b/>
          <w:sz w:val="18"/>
          <w:lang w:val="el-GR"/>
        </w:rPr>
        <w:t xml:space="preserve">Πίνακας 5. </w:t>
      </w:r>
      <w:r w:rsidR="00623797" w:rsidRPr="00D11C54">
        <w:rPr>
          <w:sz w:val="18"/>
          <w:lang w:val="el-GR"/>
        </w:rPr>
        <w:t xml:space="preserve">Διαφορές στις βαθμολογίες μεταγνώσης σε μαθητές με και χωρίς </w:t>
      </w:r>
      <w:r w:rsidR="00623797">
        <w:rPr>
          <w:sz w:val="18"/>
        </w:rPr>
        <w:t>SLD</w:t>
      </w:r>
      <w:r w:rsidR="00623797" w:rsidRPr="00D11C54">
        <w:rPr>
          <w:sz w:val="18"/>
          <w:lang w:val="el-GR"/>
        </w:rPr>
        <w:t>.</w:t>
      </w:r>
    </w:p>
    <w:p w14:paraId="4BCA4B31" w14:textId="679DBEF6" w:rsidR="00F5166D" w:rsidRPr="00D11C54" w:rsidRDefault="00D11C54">
      <w:pPr>
        <w:tabs>
          <w:tab w:val="left" w:pos="4209"/>
          <w:tab w:val="left" w:pos="5332"/>
          <w:tab w:val="left" w:pos="6410"/>
          <w:tab w:val="left" w:pos="7577"/>
          <w:tab w:val="left" w:pos="8645"/>
          <w:tab w:val="right" w:pos="10181"/>
        </w:tabs>
        <w:spacing w:before="841"/>
        <w:ind w:left="2908"/>
        <w:rPr>
          <w:sz w:val="18"/>
          <w:lang w:val="el-GR"/>
        </w:rPr>
      </w:pPr>
      <w:r>
        <w:rPr>
          <w:noProof/>
        </w:rPr>
        <mc:AlternateContent>
          <mc:Choice Requires="wps">
            <w:drawing>
              <wp:anchor distT="0" distB="0" distL="0" distR="0" simplePos="0" relativeHeight="487591936" behindDoc="1" locked="0" layoutInCell="1" allowOverlap="1" wp14:anchorId="590CE9D0" wp14:editId="0E0B6E93">
                <wp:simplePos x="0" y="0"/>
                <wp:positionH relativeFrom="page">
                  <wp:posOffset>2113280</wp:posOffset>
                </wp:positionH>
                <wp:positionV relativeFrom="paragraph">
                  <wp:posOffset>703580</wp:posOffset>
                </wp:positionV>
                <wp:extent cx="4989830" cy="1270"/>
                <wp:effectExtent l="0" t="0" r="0" b="0"/>
                <wp:wrapTopAndBottom/>
                <wp:docPr id="59565450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89830" cy="1270"/>
                        </a:xfrm>
                        <a:custGeom>
                          <a:avLst/>
                          <a:gdLst>
                            <a:gd name="T0" fmla="+- 0 3328 3328"/>
                            <a:gd name="T1" fmla="*/ T0 w 7858"/>
                            <a:gd name="T2" fmla="+- 0 11186 3328"/>
                            <a:gd name="T3" fmla="*/ T2 w 7858"/>
                          </a:gdLst>
                          <a:ahLst/>
                          <a:cxnLst>
                            <a:cxn ang="0">
                              <a:pos x="T1" y="0"/>
                            </a:cxn>
                            <a:cxn ang="0">
                              <a:pos x="T3" y="0"/>
                            </a:cxn>
                          </a:cxnLst>
                          <a:rect l="0" t="0" r="r" b="b"/>
                          <a:pathLst>
                            <a:path w="7858">
                              <a:moveTo>
                                <a:pt x="0" y="0"/>
                              </a:moveTo>
                              <a:lnTo>
                                <a:pt x="7858" y="0"/>
                              </a:lnTo>
                            </a:path>
                          </a:pathLst>
                        </a:custGeom>
                        <a:noFill/>
                        <a:ln w="101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7C4D" id="Freeform 3" o:spid="_x0000_s1026" style="position:absolute;margin-left:166.4pt;margin-top:55.4pt;width:392.9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" path="m,l7858,e" filled="f" strokeweight=".28117mm">
                <v:path arrowok="t" o:connecttype="custom" o:connectlocs="0,0;4989830,0" o:connectangles="0,0"/>
                <w10:wrap type="topAndBottom" anchorx="page"/>
              </v:shape>
            </w:pict>
          </mc:Fallback>
        </mc:AlternateContent>
      </w:r>
      <w:r w:rsidR="00623797">
        <w:rPr>
          <w:sz w:val="18"/>
        </w:rPr>
        <w:t>MSS</w:t>
      </w:r>
      <w:r w:rsidR="00623797" w:rsidRPr="00D11C54">
        <w:rPr>
          <w:sz w:val="18"/>
          <w:lang w:val="el-GR"/>
        </w:rPr>
        <w:t xml:space="preserve"> </w:t>
      </w:r>
      <w:r w:rsidR="00623797">
        <w:rPr>
          <w:sz w:val="18"/>
        </w:rPr>
        <w:t>TOT</w:t>
      </w:r>
      <w:r w:rsidR="00623797" w:rsidRPr="00D11C54">
        <w:rPr>
          <w:sz w:val="18"/>
          <w:lang w:val="el-GR"/>
        </w:rPr>
        <w:tab/>
        <w:t>98.77</w:t>
      </w:r>
      <w:r w:rsidR="00623797" w:rsidRPr="00D11C54">
        <w:rPr>
          <w:sz w:val="18"/>
          <w:lang w:val="el-GR"/>
        </w:rPr>
        <w:tab/>
        <w:t>18.20</w:t>
      </w:r>
      <w:r w:rsidR="00623797" w:rsidRPr="00D11C54">
        <w:rPr>
          <w:sz w:val="18"/>
          <w:lang w:val="el-GR"/>
        </w:rPr>
        <w:tab/>
        <w:t>113.98</w:t>
      </w:r>
      <w:r w:rsidR="00623797" w:rsidRPr="00D11C54">
        <w:rPr>
          <w:sz w:val="18"/>
          <w:lang w:val="el-GR"/>
        </w:rPr>
        <w:tab/>
        <w:t>30.42</w:t>
      </w:r>
      <w:r w:rsidR="00623797" w:rsidRPr="00D11C54">
        <w:rPr>
          <w:sz w:val="18"/>
          <w:lang w:val="el-GR"/>
        </w:rPr>
        <w:tab/>
        <w:t>&lt;0,001</w:t>
      </w:r>
      <w:r w:rsidR="00623797" w:rsidRPr="00D11C54">
        <w:rPr>
          <w:rFonts w:ascii="Times New Roman"/>
          <w:sz w:val="18"/>
          <w:lang w:val="el-GR"/>
        </w:rPr>
        <w:tab/>
      </w:r>
      <w:r w:rsidR="00623797" w:rsidRPr="00D11C54">
        <w:rPr>
          <w:sz w:val="18"/>
          <w:lang w:val="el-GR"/>
        </w:rPr>
        <w:t>0.04</w:t>
      </w:r>
    </w:p>
    <w:p w14:paraId="2AB37E5A" w14:textId="77777777" w:rsidR="00F5166D" w:rsidRPr="00D11C54" w:rsidRDefault="00623797">
      <w:pPr>
        <w:ind w:left="2727"/>
        <w:rPr>
          <w:sz w:val="16"/>
          <w:lang w:val="el-GR"/>
        </w:rPr>
      </w:pPr>
      <w:r w:rsidRPr="00D11C54">
        <w:rPr>
          <w:w w:val="105"/>
          <w:sz w:val="16"/>
          <w:lang w:val="el-GR"/>
        </w:rPr>
        <w:t xml:space="preserve">Σημειώσεις: </w:t>
      </w:r>
      <w:r>
        <w:rPr>
          <w:w w:val="105"/>
          <w:sz w:val="16"/>
        </w:rPr>
        <w:t>SLD</w:t>
      </w:r>
      <w:r w:rsidRPr="00D11C54">
        <w:rPr>
          <w:w w:val="105"/>
          <w:sz w:val="16"/>
          <w:lang w:val="el-GR"/>
        </w:rPr>
        <w:t xml:space="preserve"> = ειδική μαθησιακή διαταραχή. </w:t>
      </w:r>
      <w:r>
        <w:rPr>
          <w:w w:val="105"/>
          <w:sz w:val="16"/>
        </w:rPr>
        <w:t>MSS</w:t>
      </w:r>
      <w:r w:rsidRPr="00D11C54">
        <w:rPr>
          <w:w w:val="105"/>
          <w:sz w:val="16"/>
          <w:lang w:val="el-GR"/>
        </w:rPr>
        <w:t xml:space="preserve"> = κλίμακα μεταγνωστικών δεξιοτήτων. * Δοκιμή </w:t>
      </w:r>
      <w:r>
        <w:rPr>
          <w:w w:val="105"/>
          <w:sz w:val="16"/>
        </w:rPr>
        <w:t>Mann</w:t>
      </w:r>
      <w:r w:rsidRPr="00D11C54">
        <w:rPr>
          <w:w w:val="105"/>
          <w:sz w:val="16"/>
          <w:lang w:val="el-GR"/>
        </w:rPr>
        <w:t>-</w:t>
      </w:r>
      <w:r>
        <w:rPr>
          <w:w w:val="105"/>
          <w:sz w:val="16"/>
        </w:rPr>
        <w:t>Whitney</w:t>
      </w:r>
      <w:r w:rsidRPr="00D11C54">
        <w:rPr>
          <w:w w:val="105"/>
          <w:sz w:val="16"/>
          <w:lang w:val="el-GR"/>
        </w:rPr>
        <w:t xml:space="preserve"> </w:t>
      </w:r>
      <w:r>
        <w:rPr>
          <w:w w:val="105"/>
          <w:sz w:val="16"/>
        </w:rPr>
        <w:t>U</w:t>
      </w:r>
      <w:r w:rsidRPr="00D11C54">
        <w:rPr>
          <w:w w:val="105"/>
          <w:sz w:val="16"/>
          <w:lang w:val="el-GR"/>
        </w:rPr>
        <w:t>.</w:t>
      </w:r>
    </w:p>
    <w:p w14:paraId="43031D95" w14:textId="77777777" w:rsidR="00F5166D" w:rsidRPr="00D11C54" w:rsidRDefault="00623797">
      <w:pPr>
        <w:pStyle w:val="a3"/>
        <w:spacing w:before="156" w:line="252" w:lineRule="auto"/>
        <w:ind w:left="2721" w:right="104" w:firstLine="431"/>
        <w:jc w:val="both"/>
        <w:rPr>
          <w:lang w:val="el-GR"/>
        </w:rPr>
      </w:pPr>
      <w:r w:rsidRPr="00D11C54">
        <w:rPr>
          <w:w w:val="105"/>
          <w:lang w:val="el-GR"/>
        </w:rPr>
        <w:t xml:space="preserve">Όσον αφορά την υπόθεση </w:t>
      </w:r>
      <w:r>
        <w:rPr>
          <w:w w:val="105"/>
        </w:rPr>
        <w:t>H</w:t>
      </w:r>
      <w:r w:rsidRPr="00D11C54">
        <w:rPr>
          <w:w w:val="105"/>
          <w:lang w:val="el-GR"/>
        </w:rPr>
        <w:t xml:space="preserve">4 (οι έφηβοι με </w:t>
      </w:r>
      <w:r>
        <w:rPr>
          <w:w w:val="105"/>
        </w:rPr>
        <w:t>SLD</w:t>
      </w:r>
      <w:r w:rsidRPr="00D11C54">
        <w:rPr>
          <w:w w:val="105"/>
          <w:lang w:val="el-GR"/>
        </w:rPr>
        <w:t xml:space="preserve"> που χρησιμοποιούν αντισταθμιστικά εργαλεία εκφράζουν υψηλότερες διαπροσωπικές δεξιότητες, αυτο-αποτελεσματικότητα και μεταγνωστικές δεξιότητες από τους εφήβους με </w:t>
      </w:r>
      <w:r>
        <w:rPr>
          <w:w w:val="105"/>
        </w:rPr>
        <w:t>SLD</w:t>
      </w:r>
      <w:r w:rsidRPr="00D11C54">
        <w:rPr>
          <w:w w:val="105"/>
          <w:lang w:val="el-GR"/>
        </w:rPr>
        <w:t xml:space="preserve">  που δεν χρησιμοποιούν αντισταθμιστικά εργαλεία), ο Πίνακας </w:t>
      </w:r>
      <w:hyperlink w:anchor="_bookmark6" w:history="1">
        <w:r w:rsidRPr="00D11C54">
          <w:rPr>
            <w:color w:val="0774B7"/>
            <w:w w:val="105"/>
            <w:lang w:val="el-GR"/>
          </w:rPr>
          <w:t xml:space="preserve">6  δείχνει ότι οι μαθητές </w:t>
        </w:r>
        <w:r>
          <w:rPr>
            <w:color w:val="0774B7"/>
            <w:w w:val="105"/>
          </w:rPr>
          <w:t>SLD</w:t>
        </w:r>
        <w:r w:rsidRPr="00D11C54">
          <w:rPr>
            <w:color w:val="0774B7"/>
            <w:w w:val="105"/>
            <w:lang w:val="el-GR"/>
          </w:rPr>
          <w:t xml:space="preserve"> που χρησιμοποιούν </w:t>
        </w:r>
      </w:hyperlink>
      <w:r w:rsidRPr="00D11C54">
        <w:rPr>
          <w:w w:val="105"/>
          <w:lang w:val="el-GR"/>
        </w:rPr>
        <w:t xml:space="preserve">αντισταθμιστικά εργαλεία παρουσιάζουν υψηλότερες τιμές </w:t>
      </w:r>
      <w:r>
        <w:rPr>
          <w:w w:val="105"/>
        </w:rPr>
        <w:t>MSS</w:t>
      </w:r>
      <w:r w:rsidRPr="00D11C54">
        <w:rPr>
          <w:w w:val="105"/>
          <w:lang w:val="el-GR"/>
        </w:rPr>
        <w:t xml:space="preserve"> </w:t>
      </w:r>
      <w:r>
        <w:rPr>
          <w:w w:val="105"/>
        </w:rPr>
        <w:t>TOT</w:t>
      </w:r>
      <w:r w:rsidRPr="00D11C54">
        <w:rPr>
          <w:w w:val="105"/>
          <w:lang w:val="el-GR"/>
        </w:rPr>
        <w:t xml:space="preserve"> από τους μαθητές </w:t>
      </w:r>
      <w:r>
        <w:rPr>
          <w:w w:val="105"/>
        </w:rPr>
        <w:t>SLD</w:t>
      </w:r>
      <w:r w:rsidRPr="00D11C54">
        <w:rPr>
          <w:w w:val="105"/>
          <w:lang w:val="el-GR"/>
        </w:rPr>
        <w:t xml:space="preserve"> που δεν χρησιμοποιούν εργαλεία </w:t>
      </w:r>
      <w:r>
        <w:rPr>
          <w:w w:val="105"/>
        </w:rPr>
        <w:t>compen</w:t>
      </w:r>
      <w:r w:rsidRPr="00D11C54">
        <w:rPr>
          <w:w w:val="105"/>
          <w:lang w:val="el-GR"/>
        </w:rPr>
        <w:t>-</w:t>
      </w:r>
      <w:r>
        <w:rPr>
          <w:w w:val="105"/>
        </w:rPr>
        <w:t>satory</w:t>
      </w:r>
      <w:r w:rsidRPr="00D11C54">
        <w:rPr>
          <w:w w:val="105"/>
          <w:lang w:val="el-GR"/>
        </w:rPr>
        <w:t xml:space="preserve"> </w:t>
      </w:r>
      <w:r w:rsidRPr="00D11C54">
        <w:rPr>
          <w:lang w:val="el-GR"/>
        </w:rPr>
        <w:t xml:space="preserve">(121,33 έναντι 86,57, αντίστοιχα). Οι διαφορές είναι όλες στατιστικά σημαντικές </w:t>
      </w:r>
      <w:r w:rsidRPr="00D11C54">
        <w:rPr>
          <w:w w:val="105"/>
          <w:lang w:val="el-GR"/>
        </w:rPr>
        <w:t>(</w:t>
      </w:r>
      <w:r>
        <w:rPr>
          <w:rFonts w:ascii="Palatino Linotype"/>
          <w:i/>
          <w:w w:val="105"/>
        </w:rPr>
        <w:t>p</w:t>
      </w:r>
      <w:r w:rsidRPr="00D11C54">
        <w:rPr>
          <w:rFonts w:ascii="Palatino Linotype"/>
          <w:i/>
          <w:w w:val="105"/>
          <w:lang w:val="el-GR"/>
        </w:rPr>
        <w:t xml:space="preserve"> </w:t>
      </w:r>
      <w:r w:rsidRPr="00D11C54">
        <w:rPr>
          <w:w w:val="105"/>
          <w:lang w:val="el-GR"/>
        </w:rPr>
        <w:t>&lt; 0,001), αλλά τα μεγέθη επίδρασης είναι μικρά.</w:t>
      </w:r>
    </w:p>
    <w:p w14:paraId="6992C3A1" w14:textId="77777777" w:rsidR="00F5166D" w:rsidRPr="00D11C54" w:rsidRDefault="00F5166D">
      <w:pPr>
        <w:pStyle w:val="a3"/>
        <w:spacing w:before="7"/>
        <w:rPr>
          <w:sz w:val="21"/>
          <w:lang w:val="el-GR"/>
        </w:rPr>
      </w:pPr>
    </w:p>
    <w:p w14:paraId="3E67E3E9" w14:textId="46FC9355" w:rsidR="00F5166D" w:rsidRPr="00D11C54" w:rsidRDefault="00D11C54">
      <w:pPr>
        <w:spacing w:line="292" w:lineRule="auto"/>
        <w:ind w:left="2727" w:right="128" w:hanging="6"/>
        <w:rPr>
          <w:sz w:val="18"/>
          <w:lang w:val="el-GR"/>
        </w:rPr>
      </w:pPr>
      <w:r>
        <w:rPr>
          <w:noProof/>
        </w:rPr>
        <mc:AlternateContent>
          <mc:Choice Requires="wps">
            <w:drawing>
              <wp:anchor distT="0" distB="0" distL="114300" distR="114300" simplePos="0" relativeHeight="15733248" behindDoc="0" locked="0" layoutInCell="1" allowOverlap="1" wp14:anchorId="5F72B68A" wp14:editId="7A847800">
                <wp:simplePos x="0" y="0"/>
                <wp:positionH relativeFrom="page">
                  <wp:posOffset>2113280</wp:posOffset>
                </wp:positionH>
                <wp:positionV relativeFrom="paragraph">
                  <wp:posOffset>401320</wp:posOffset>
                </wp:positionV>
                <wp:extent cx="4989830" cy="0"/>
                <wp:effectExtent l="0" t="0" r="0" b="0"/>
                <wp:wrapNone/>
                <wp:docPr id="6824011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9830" cy="0"/>
                        </a:xfrm>
                        <a:prstGeom prst="line">
                          <a:avLst/>
                        </a:prstGeom>
                        <a:noFill/>
                        <a:ln w="101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B533A" id="Line 2"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4pt,31.6pt" to="559.3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" strokeweight=".28117mm">
                <w10:wrap anchorx="page"/>
              </v:line>
            </w:pict>
          </mc:Fallback>
        </mc:AlternateContent>
      </w:r>
      <w:bookmarkStart w:id="19" w:name="_bookmark6"/>
      <w:bookmarkEnd w:id="19"/>
      <w:r w:rsidR="00623797" w:rsidRPr="00D11C54">
        <w:rPr>
          <w:b/>
          <w:spacing w:val="-1"/>
          <w:w w:val="105"/>
          <w:sz w:val="18"/>
          <w:lang w:val="el-GR"/>
        </w:rPr>
        <w:t xml:space="preserve">Πίνακας 6. </w:t>
      </w:r>
      <w:r w:rsidR="00623797" w:rsidRPr="00D11C54">
        <w:rPr>
          <w:spacing w:val="-1"/>
          <w:w w:val="105"/>
          <w:sz w:val="18"/>
          <w:lang w:val="el-GR"/>
        </w:rPr>
        <w:t xml:space="preserve">Διαφορές στις διαπροσωπικές δεξιότητες, την αυτο-αποτελεσματικότητα και τις βαθμολογίες μεταγνώσης σε μαθητές με </w:t>
      </w:r>
      <w:r w:rsidR="00623797">
        <w:rPr>
          <w:spacing w:val="-1"/>
          <w:w w:val="105"/>
          <w:sz w:val="18"/>
        </w:rPr>
        <w:t>SLD</w:t>
      </w:r>
      <w:r w:rsidR="00623797" w:rsidRPr="00D11C54">
        <w:rPr>
          <w:spacing w:val="-1"/>
          <w:w w:val="105"/>
          <w:sz w:val="18"/>
          <w:lang w:val="el-GR"/>
        </w:rPr>
        <w:t xml:space="preserve"> σύμφωνα με τη χρήση αντισταθμιστικών εργαλείων.</w:t>
      </w:r>
    </w:p>
    <w:p w14:paraId="329F351E" w14:textId="77777777" w:rsidR="00F5166D" w:rsidRPr="00D11C54" w:rsidRDefault="00F5166D">
      <w:pPr>
        <w:spacing w:line="292" w:lineRule="auto"/>
        <w:rPr>
          <w:sz w:val="18"/>
          <w:lang w:val="el-GR"/>
        </w:rPr>
        <w:sectPr w:rsidR="00F5166D" w:rsidRPr="00D11C54">
          <w:pgSz w:w="11910" w:h="16840"/>
          <w:pgMar w:top="1400" w:right="580" w:bottom="280" w:left="600" w:header="1109" w:footer="0" w:gutter="0"/>
          <w:cols w:space="720"/>
        </w:sectPr>
      </w:pPr>
    </w:p>
    <w:p w14:paraId="20C580B7" w14:textId="77777777" w:rsidR="00F5166D" w:rsidRPr="00D11C54" w:rsidRDefault="00623797">
      <w:pPr>
        <w:spacing w:before="163" w:line="249" w:lineRule="auto"/>
        <w:ind w:left="4112" w:hanging="7"/>
        <w:jc w:val="center"/>
        <w:rPr>
          <w:b/>
          <w:sz w:val="18"/>
          <w:lang w:val="el-GR"/>
        </w:rPr>
      </w:pPr>
      <w:r w:rsidRPr="00D11C54">
        <w:rPr>
          <w:b/>
          <w:w w:val="105"/>
          <w:sz w:val="18"/>
          <w:lang w:val="el-GR"/>
        </w:rPr>
        <w:t xml:space="preserve">Οι μαθητές </w:t>
      </w:r>
      <w:r>
        <w:rPr>
          <w:b/>
          <w:w w:val="105"/>
          <w:sz w:val="18"/>
        </w:rPr>
        <w:t>SLD</w:t>
      </w:r>
      <w:r w:rsidRPr="00D11C54">
        <w:rPr>
          <w:b/>
          <w:w w:val="105"/>
          <w:sz w:val="18"/>
          <w:lang w:val="el-GR"/>
        </w:rPr>
        <w:t xml:space="preserve"> δεν </w:t>
      </w:r>
      <w:r w:rsidRPr="00D11C54">
        <w:rPr>
          <w:b/>
          <w:sz w:val="18"/>
          <w:lang w:val="el-GR"/>
        </w:rPr>
        <w:t xml:space="preserve">χρησιμοποιούν αντισταθμιστικά </w:t>
      </w:r>
      <w:r w:rsidRPr="00D11C54">
        <w:rPr>
          <w:b/>
          <w:w w:val="105"/>
          <w:sz w:val="18"/>
          <w:lang w:val="el-GR"/>
        </w:rPr>
        <w:t>εργαλεία</w:t>
      </w:r>
    </w:p>
    <w:p w14:paraId="53E7A487" w14:textId="77777777" w:rsidR="00F5166D" w:rsidRPr="00D11C54" w:rsidRDefault="00623797">
      <w:pPr>
        <w:pStyle w:val="a3"/>
        <w:spacing w:before="3"/>
        <w:rPr>
          <w:b/>
          <w:sz w:val="23"/>
          <w:lang w:val="el-GR"/>
        </w:rPr>
      </w:pPr>
      <w:r w:rsidRPr="00D11C54">
        <w:rPr>
          <w:lang w:val="el-GR"/>
        </w:rPr>
        <w:br w:type="column"/>
      </w:r>
    </w:p>
    <w:p w14:paraId="789FA3C9" w14:textId="77777777" w:rsidR="00F5166D" w:rsidRPr="00D11C54" w:rsidRDefault="00623797">
      <w:pPr>
        <w:ind w:left="500"/>
        <w:rPr>
          <w:b/>
          <w:sz w:val="18"/>
          <w:lang w:val="el-GR"/>
        </w:rPr>
      </w:pPr>
      <w:r w:rsidRPr="00D11C54">
        <w:rPr>
          <w:b/>
          <w:w w:val="105"/>
          <w:sz w:val="18"/>
          <w:lang w:val="el-GR"/>
        </w:rPr>
        <w:t xml:space="preserve">Μαθητές </w:t>
      </w:r>
      <w:r>
        <w:rPr>
          <w:b/>
          <w:w w:val="105"/>
          <w:sz w:val="18"/>
        </w:rPr>
        <w:t>SLD</w:t>
      </w:r>
      <w:r w:rsidRPr="00D11C54">
        <w:rPr>
          <w:b/>
          <w:w w:val="105"/>
          <w:sz w:val="18"/>
          <w:lang w:val="el-GR"/>
        </w:rPr>
        <w:t xml:space="preserve"> που χρησιμοποιούν</w:t>
      </w:r>
    </w:p>
    <w:p w14:paraId="1F5B4092" w14:textId="77777777" w:rsidR="00F5166D" w:rsidRPr="00D11C54" w:rsidRDefault="00623797">
      <w:pPr>
        <w:tabs>
          <w:tab w:val="left" w:pos="2916"/>
          <w:tab w:val="left" w:pos="4058"/>
        </w:tabs>
        <w:spacing w:before="8"/>
        <w:ind w:left="497"/>
        <w:rPr>
          <w:b/>
          <w:sz w:val="14"/>
          <w:lang w:val="el-GR"/>
        </w:rPr>
      </w:pPr>
      <w:r w:rsidRPr="00D11C54">
        <w:rPr>
          <w:b/>
          <w:sz w:val="18"/>
          <w:lang w:val="el-GR"/>
        </w:rPr>
        <w:t>Αντισταθμιστικά εργαλεία</w:t>
      </w:r>
      <w:r w:rsidRPr="00D11C54">
        <w:rPr>
          <w:b/>
          <w:sz w:val="18"/>
          <w:lang w:val="el-GR"/>
        </w:rPr>
        <w:tab/>
      </w:r>
      <w:r>
        <w:rPr>
          <w:rFonts w:ascii="Palatino Linotype" w:hAnsi="Palatino Linotype"/>
          <w:b/>
          <w:i/>
          <w:position w:val="-2"/>
          <w:sz w:val="18"/>
        </w:rPr>
        <w:t>p</w:t>
      </w:r>
      <w:r w:rsidRPr="00D11C54">
        <w:rPr>
          <w:rFonts w:ascii="Palatino Linotype" w:hAnsi="Palatino Linotype"/>
          <w:b/>
          <w:i/>
          <w:position w:val="-2"/>
          <w:sz w:val="18"/>
          <w:lang w:val="el-GR"/>
        </w:rPr>
        <w:t xml:space="preserve"> </w:t>
      </w:r>
      <w:r w:rsidRPr="00D11C54">
        <w:rPr>
          <w:b/>
          <w:position w:val="-2"/>
          <w:sz w:val="18"/>
          <w:lang w:val="el-GR"/>
        </w:rPr>
        <w:t>*</w:t>
      </w:r>
      <w:r w:rsidRPr="00D11C54">
        <w:rPr>
          <w:b/>
          <w:position w:val="-2"/>
          <w:sz w:val="18"/>
          <w:lang w:val="el-GR"/>
        </w:rPr>
        <w:tab/>
      </w:r>
      <w:r w:rsidRPr="00D11C54">
        <w:rPr>
          <w:rFonts w:ascii="Calibri" w:hAnsi="Calibri"/>
          <w:b/>
          <w:i/>
          <w:position w:val="-4"/>
          <w:sz w:val="18"/>
          <w:lang w:val="el-GR"/>
        </w:rPr>
        <w:t>η2</w:t>
      </w:r>
    </w:p>
    <w:p w14:paraId="0AC8DFE8" w14:textId="77777777" w:rsidR="00F5166D" w:rsidRPr="00D11C54" w:rsidRDefault="00F5166D">
      <w:pPr>
        <w:rPr>
          <w:sz w:val="14"/>
          <w:lang w:val="el-GR"/>
        </w:rPr>
        <w:sectPr w:rsidR="00F5166D" w:rsidRPr="00D11C54">
          <w:type w:val="continuous"/>
          <w:pgSz w:w="11910" w:h="16840"/>
          <w:pgMar w:top="980" w:right="580" w:bottom="0" w:left="600" w:header="720" w:footer="720" w:gutter="0"/>
          <w:cols w:num="2" w:space="720" w:equalWidth="0">
            <w:col w:w="5841" w:space="40"/>
            <w:col w:w="4849"/>
          </w:cols>
        </w:sectPr>
      </w:pPr>
    </w:p>
    <w:p w14:paraId="574289F7" w14:textId="77777777" w:rsidR="00F5166D" w:rsidRPr="00D11C54" w:rsidRDefault="00F5166D">
      <w:pPr>
        <w:pStyle w:val="a3"/>
        <w:spacing w:before="8"/>
        <w:rPr>
          <w:b/>
          <w:sz w:val="2"/>
          <w:lang w:val="el-GR"/>
        </w:rPr>
      </w:pPr>
    </w:p>
    <w:tbl>
      <w:tblPr>
        <w:tblStyle w:val="TableNormal"/>
        <w:tblW w:w="0" w:type="auto"/>
        <w:tblInd w:w="2735" w:type="dxa"/>
        <w:tblLayout w:type="fixed"/>
        <w:tblLook w:val="01E0" w:firstRow="1" w:lastRow="1" w:firstColumn="1" w:lastColumn="1" w:noHBand="0" w:noVBand="0"/>
      </w:tblPr>
      <w:tblGrid>
        <w:gridCol w:w="1123"/>
        <w:gridCol w:w="1123"/>
        <w:gridCol w:w="1101"/>
        <w:gridCol w:w="1168"/>
        <w:gridCol w:w="1101"/>
        <w:gridCol w:w="1173"/>
        <w:gridCol w:w="1074"/>
      </w:tblGrid>
      <w:tr w:rsidR="00F5166D" w14:paraId="7EB43CB5" w14:textId="77777777">
        <w:trPr>
          <w:trHeight w:val="305"/>
        </w:trPr>
        <w:tc>
          <w:tcPr>
            <w:tcW w:w="1123" w:type="dxa"/>
            <w:tcBorders>
              <w:bottom w:val="single" w:sz="4" w:space="0" w:color="000000"/>
            </w:tcBorders>
          </w:tcPr>
          <w:p w14:paraId="2EB3BBE6" w14:textId="77777777" w:rsidR="00F5166D" w:rsidRPr="00D11C54" w:rsidRDefault="00F5166D">
            <w:pPr>
              <w:pStyle w:val="TableParagraph"/>
              <w:jc w:val="left"/>
              <w:rPr>
                <w:rFonts w:ascii="Times New Roman"/>
                <w:sz w:val="18"/>
                <w:lang w:val="el-GR"/>
              </w:rPr>
            </w:pPr>
          </w:p>
        </w:tc>
        <w:tc>
          <w:tcPr>
            <w:tcW w:w="1123" w:type="dxa"/>
            <w:tcBorders>
              <w:top w:val="single" w:sz="4" w:space="0" w:color="000000"/>
              <w:bottom w:val="single" w:sz="4" w:space="0" w:color="000000"/>
            </w:tcBorders>
          </w:tcPr>
          <w:p w14:paraId="403C2100" w14:textId="77777777" w:rsidR="00F5166D" w:rsidRDefault="00623797">
            <w:pPr>
              <w:pStyle w:val="TableParagraph"/>
              <w:spacing w:before="41"/>
              <w:ind w:right="6"/>
              <w:jc w:val="center"/>
              <w:rPr>
                <w:rFonts w:ascii="Palatino Linotype"/>
                <w:b/>
                <w:i/>
                <w:sz w:val="18"/>
              </w:rPr>
            </w:pPr>
            <w:r>
              <w:rPr>
                <w:rFonts w:ascii="Palatino Linotype"/>
                <w:b/>
                <w:i/>
                <w:w w:val="99"/>
                <w:sz w:val="18"/>
              </w:rPr>
              <w:t>M</w:t>
            </w:r>
          </w:p>
        </w:tc>
        <w:tc>
          <w:tcPr>
            <w:tcW w:w="1101" w:type="dxa"/>
            <w:tcBorders>
              <w:top w:val="single" w:sz="4" w:space="0" w:color="000000"/>
              <w:bottom w:val="single" w:sz="4" w:space="0" w:color="000000"/>
            </w:tcBorders>
          </w:tcPr>
          <w:p w14:paraId="5DCACA8D" w14:textId="77777777" w:rsidR="00F5166D" w:rsidRDefault="00623797">
            <w:pPr>
              <w:pStyle w:val="TableParagraph"/>
              <w:spacing w:before="41"/>
              <w:ind w:left="322" w:right="303"/>
              <w:jc w:val="center"/>
              <w:rPr>
                <w:rFonts w:ascii="Palatino Linotype"/>
                <w:b/>
                <w:i/>
                <w:sz w:val="18"/>
              </w:rPr>
            </w:pPr>
            <w:r>
              <w:rPr>
                <w:rFonts w:ascii="Palatino Linotype"/>
                <w:b/>
                <w:i/>
                <w:sz w:val="18"/>
              </w:rPr>
              <w:t>Σ</w:t>
            </w:r>
            <w:r>
              <w:rPr>
                <w:rFonts w:ascii="Palatino Linotype"/>
                <w:b/>
                <w:i/>
                <w:sz w:val="18"/>
              </w:rPr>
              <w:t>.</w:t>
            </w:r>
            <w:r>
              <w:rPr>
                <w:rFonts w:ascii="Palatino Linotype"/>
                <w:b/>
                <w:i/>
                <w:sz w:val="18"/>
              </w:rPr>
              <w:t>Δ</w:t>
            </w:r>
            <w:r>
              <w:rPr>
                <w:rFonts w:ascii="Palatino Linotype"/>
                <w:b/>
                <w:i/>
                <w:sz w:val="18"/>
              </w:rPr>
              <w:t>.</w:t>
            </w:r>
          </w:p>
        </w:tc>
        <w:tc>
          <w:tcPr>
            <w:tcW w:w="1168" w:type="dxa"/>
            <w:tcBorders>
              <w:top w:val="single" w:sz="4" w:space="0" w:color="000000"/>
              <w:bottom w:val="single" w:sz="4" w:space="0" w:color="000000"/>
            </w:tcBorders>
          </w:tcPr>
          <w:p w14:paraId="47C95CFD" w14:textId="77777777" w:rsidR="00F5166D" w:rsidRDefault="00623797">
            <w:pPr>
              <w:pStyle w:val="TableParagraph"/>
              <w:spacing w:before="41"/>
              <w:ind w:right="9"/>
              <w:jc w:val="center"/>
              <w:rPr>
                <w:rFonts w:ascii="Palatino Linotype"/>
                <w:b/>
                <w:i/>
                <w:sz w:val="18"/>
              </w:rPr>
            </w:pPr>
            <w:r>
              <w:rPr>
                <w:rFonts w:ascii="Palatino Linotype"/>
                <w:b/>
                <w:i/>
                <w:w w:val="99"/>
                <w:sz w:val="18"/>
              </w:rPr>
              <w:t>M</w:t>
            </w:r>
          </w:p>
        </w:tc>
        <w:tc>
          <w:tcPr>
            <w:tcW w:w="1101" w:type="dxa"/>
            <w:tcBorders>
              <w:top w:val="single" w:sz="4" w:space="0" w:color="000000"/>
              <w:bottom w:val="single" w:sz="4" w:space="0" w:color="000000"/>
            </w:tcBorders>
          </w:tcPr>
          <w:p w14:paraId="1301209E" w14:textId="77777777" w:rsidR="00F5166D" w:rsidRDefault="00623797">
            <w:pPr>
              <w:pStyle w:val="TableParagraph"/>
              <w:spacing w:before="41"/>
              <w:ind w:left="277" w:right="303"/>
              <w:jc w:val="center"/>
              <w:rPr>
                <w:rFonts w:ascii="Palatino Linotype"/>
                <w:b/>
                <w:i/>
                <w:sz w:val="18"/>
              </w:rPr>
            </w:pPr>
            <w:r>
              <w:rPr>
                <w:rFonts w:ascii="Palatino Linotype"/>
                <w:b/>
                <w:i/>
                <w:sz w:val="18"/>
              </w:rPr>
              <w:t>Σ</w:t>
            </w:r>
            <w:r>
              <w:rPr>
                <w:rFonts w:ascii="Palatino Linotype"/>
                <w:b/>
                <w:i/>
                <w:sz w:val="18"/>
              </w:rPr>
              <w:t>.</w:t>
            </w:r>
            <w:r>
              <w:rPr>
                <w:rFonts w:ascii="Palatino Linotype"/>
                <w:b/>
                <w:i/>
                <w:sz w:val="18"/>
              </w:rPr>
              <w:t>Δ</w:t>
            </w:r>
            <w:r>
              <w:rPr>
                <w:rFonts w:ascii="Palatino Linotype"/>
                <w:b/>
                <w:i/>
                <w:sz w:val="18"/>
              </w:rPr>
              <w:t>.</w:t>
            </w:r>
          </w:p>
        </w:tc>
        <w:tc>
          <w:tcPr>
            <w:tcW w:w="2247" w:type="dxa"/>
            <w:gridSpan w:val="2"/>
            <w:tcBorders>
              <w:bottom w:val="single" w:sz="4" w:space="0" w:color="000000"/>
            </w:tcBorders>
          </w:tcPr>
          <w:p w14:paraId="2D4D048C" w14:textId="77777777" w:rsidR="00F5166D" w:rsidRDefault="00F5166D">
            <w:pPr>
              <w:pStyle w:val="TableParagraph"/>
              <w:jc w:val="left"/>
              <w:rPr>
                <w:rFonts w:ascii="Times New Roman"/>
                <w:sz w:val="18"/>
              </w:rPr>
            </w:pPr>
          </w:p>
        </w:tc>
      </w:tr>
      <w:tr w:rsidR="00F5166D" w14:paraId="6A1865A7" w14:textId="77777777">
        <w:trPr>
          <w:trHeight w:val="305"/>
        </w:trPr>
        <w:tc>
          <w:tcPr>
            <w:tcW w:w="1123" w:type="dxa"/>
            <w:tcBorders>
              <w:top w:val="single" w:sz="4" w:space="0" w:color="000000"/>
              <w:bottom w:val="single" w:sz="4" w:space="0" w:color="000000"/>
            </w:tcBorders>
          </w:tcPr>
          <w:p w14:paraId="6389E164" w14:textId="77777777" w:rsidR="00F5166D" w:rsidRDefault="00623797">
            <w:pPr>
              <w:pStyle w:val="TableParagraph"/>
              <w:spacing w:before="59"/>
              <w:ind w:left="119"/>
              <w:jc w:val="left"/>
              <w:rPr>
                <w:sz w:val="18"/>
              </w:rPr>
            </w:pPr>
            <w:r>
              <w:rPr>
                <w:w w:val="115"/>
                <w:sz w:val="18"/>
              </w:rPr>
              <w:t>IAQ-Α</w:t>
            </w:r>
          </w:p>
        </w:tc>
        <w:tc>
          <w:tcPr>
            <w:tcW w:w="1123" w:type="dxa"/>
            <w:tcBorders>
              <w:top w:val="single" w:sz="4" w:space="0" w:color="000000"/>
              <w:bottom w:val="single" w:sz="4" w:space="0" w:color="000000"/>
            </w:tcBorders>
          </w:tcPr>
          <w:p w14:paraId="3B989A10" w14:textId="77777777" w:rsidR="00F5166D" w:rsidRDefault="00623797">
            <w:pPr>
              <w:pStyle w:val="TableParagraph"/>
              <w:spacing w:before="59"/>
              <w:ind w:left="323" w:right="324"/>
              <w:jc w:val="center"/>
              <w:rPr>
                <w:sz w:val="18"/>
              </w:rPr>
            </w:pPr>
            <w:r>
              <w:rPr>
                <w:sz w:val="18"/>
              </w:rPr>
              <w:t>1.40</w:t>
            </w:r>
          </w:p>
        </w:tc>
        <w:tc>
          <w:tcPr>
            <w:tcW w:w="1101" w:type="dxa"/>
            <w:tcBorders>
              <w:top w:val="single" w:sz="4" w:space="0" w:color="000000"/>
              <w:bottom w:val="single" w:sz="4" w:space="0" w:color="000000"/>
            </w:tcBorders>
          </w:tcPr>
          <w:p w14:paraId="685B1E65" w14:textId="77777777" w:rsidR="00F5166D" w:rsidRDefault="00623797">
            <w:pPr>
              <w:pStyle w:val="TableParagraph"/>
              <w:spacing w:before="59"/>
              <w:ind w:left="322" w:right="303"/>
              <w:jc w:val="center"/>
              <w:rPr>
                <w:sz w:val="18"/>
              </w:rPr>
            </w:pPr>
            <w:r>
              <w:rPr>
                <w:sz w:val="18"/>
              </w:rPr>
              <w:t>0.41</w:t>
            </w:r>
          </w:p>
        </w:tc>
        <w:tc>
          <w:tcPr>
            <w:tcW w:w="1168" w:type="dxa"/>
            <w:tcBorders>
              <w:top w:val="single" w:sz="4" w:space="0" w:color="000000"/>
              <w:bottom w:val="single" w:sz="4" w:space="0" w:color="000000"/>
            </w:tcBorders>
          </w:tcPr>
          <w:p w14:paraId="0AA9E695" w14:textId="77777777" w:rsidR="00F5166D" w:rsidRDefault="00623797">
            <w:pPr>
              <w:pStyle w:val="TableParagraph"/>
              <w:spacing w:before="59"/>
              <w:ind w:left="295" w:right="297"/>
              <w:jc w:val="center"/>
              <w:rPr>
                <w:sz w:val="18"/>
              </w:rPr>
            </w:pPr>
            <w:r>
              <w:rPr>
                <w:sz w:val="18"/>
              </w:rPr>
              <w:t>0.88</w:t>
            </w:r>
          </w:p>
        </w:tc>
        <w:tc>
          <w:tcPr>
            <w:tcW w:w="1101" w:type="dxa"/>
            <w:tcBorders>
              <w:top w:val="single" w:sz="4" w:space="0" w:color="000000"/>
              <w:bottom w:val="single" w:sz="4" w:space="0" w:color="000000"/>
            </w:tcBorders>
          </w:tcPr>
          <w:p w14:paraId="32FF8618" w14:textId="77777777" w:rsidR="00F5166D" w:rsidRDefault="00623797">
            <w:pPr>
              <w:pStyle w:val="TableParagraph"/>
              <w:spacing w:before="59"/>
              <w:ind w:right="405"/>
              <w:rPr>
                <w:sz w:val="18"/>
              </w:rPr>
            </w:pPr>
            <w:r>
              <w:rPr>
                <w:sz w:val="18"/>
              </w:rPr>
              <w:t>0.51</w:t>
            </w:r>
          </w:p>
        </w:tc>
        <w:tc>
          <w:tcPr>
            <w:tcW w:w="1173" w:type="dxa"/>
            <w:tcBorders>
              <w:top w:val="single" w:sz="4" w:space="0" w:color="000000"/>
              <w:bottom w:val="single" w:sz="4" w:space="0" w:color="000000"/>
            </w:tcBorders>
          </w:tcPr>
          <w:p w14:paraId="0FC827C1" w14:textId="77777777" w:rsidR="00F5166D" w:rsidRDefault="00623797">
            <w:pPr>
              <w:pStyle w:val="TableParagraph"/>
              <w:spacing w:before="59"/>
              <w:ind w:left="271" w:right="326"/>
              <w:jc w:val="center"/>
              <w:rPr>
                <w:sz w:val="18"/>
              </w:rPr>
            </w:pPr>
            <w:r>
              <w:rPr>
                <w:sz w:val="18"/>
              </w:rPr>
              <w:t>&lt;0,001</w:t>
            </w:r>
          </w:p>
        </w:tc>
        <w:tc>
          <w:tcPr>
            <w:tcW w:w="1074" w:type="dxa"/>
            <w:tcBorders>
              <w:top w:val="single" w:sz="4" w:space="0" w:color="000000"/>
              <w:bottom w:val="single" w:sz="4" w:space="0" w:color="000000"/>
            </w:tcBorders>
          </w:tcPr>
          <w:p w14:paraId="0CA9D336" w14:textId="77777777" w:rsidR="00F5166D" w:rsidRDefault="00623797">
            <w:pPr>
              <w:pStyle w:val="TableParagraph"/>
              <w:spacing w:before="59"/>
              <w:ind w:left="395"/>
              <w:jc w:val="left"/>
              <w:rPr>
                <w:sz w:val="18"/>
              </w:rPr>
            </w:pPr>
            <w:r>
              <w:rPr>
                <w:sz w:val="18"/>
              </w:rPr>
              <w:t>0.1</w:t>
            </w:r>
          </w:p>
        </w:tc>
      </w:tr>
      <w:tr w:rsidR="00F5166D" w14:paraId="0DC9C33B" w14:textId="77777777">
        <w:trPr>
          <w:trHeight w:val="305"/>
        </w:trPr>
        <w:tc>
          <w:tcPr>
            <w:tcW w:w="1123" w:type="dxa"/>
            <w:tcBorders>
              <w:top w:val="single" w:sz="4" w:space="0" w:color="000000"/>
              <w:bottom w:val="single" w:sz="4" w:space="0" w:color="000000"/>
            </w:tcBorders>
          </w:tcPr>
          <w:p w14:paraId="4500A9DC" w14:textId="77777777" w:rsidR="00F5166D" w:rsidRDefault="00623797">
            <w:pPr>
              <w:pStyle w:val="TableParagraph"/>
              <w:spacing w:before="59"/>
              <w:ind w:left="119"/>
              <w:jc w:val="left"/>
              <w:rPr>
                <w:sz w:val="18"/>
              </w:rPr>
            </w:pPr>
            <w:r>
              <w:rPr>
                <w:w w:val="115"/>
                <w:sz w:val="18"/>
              </w:rPr>
              <w:t>IAQ-Ι</w:t>
            </w:r>
          </w:p>
        </w:tc>
        <w:tc>
          <w:tcPr>
            <w:tcW w:w="1123" w:type="dxa"/>
            <w:tcBorders>
              <w:top w:val="single" w:sz="4" w:space="0" w:color="000000"/>
              <w:bottom w:val="single" w:sz="4" w:space="0" w:color="000000"/>
            </w:tcBorders>
          </w:tcPr>
          <w:p w14:paraId="45812FDE" w14:textId="77777777" w:rsidR="00F5166D" w:rsidRDefault="00623797">
            <w:pPr>
              <w:pStyle w:val="TableParagraph"/>
              <w:spacing w:before="59"/>
              <w:ind w:left="323" w:right="324"/>
              <w:jc w:val="center"/>
              <w:rPr>
                <w:sz w:val="18"/>
              </w:rPr>
            </w:pPr>
            <w:r>
              <w:rPr>
                <w:sz w:val="18"/>
              </w:rPr>
              <w:t>0.77</w:t>
            </w:r>
          </w:p>
        </w:tc>
        <w:tc>
          <w:tcPr>
            <w:tcW w:w="1101" w:type="dxa"/>
            <w:tcBorders>
              <w:top w:val="single" w:sz="4" w:space="0" w:color="000000"/>
              <w:bottom w:val="single" w:sz="4" w:space="0" w:color="000000"/>
            </w:tcBorders>
          </w:tcPr>
          <w:p w14:paraId="0816346A" w14:textId="77777777" w:rsidR="00F5166D" w:rsidRDefault="00623797">
            <w:pPr>
              <w:pStyle w:val="TableParagraph"/>
              <w:spacing w:before="59"/>
              <w:ind w:left="322" w:right="303"/>
              <w:jc w:val="center"/>
              <w:rPr>
                <w:sz w:val="18"/>
              </w:rPr>
            </w:pPr>
            <w:r>
              <w:rPr>
                <w:sz w:val="18"/>
              </w:rPr>
              <w:t>0.49</w:t>
            </w:r>
          </w:p>
        </w:tc>
        <w:tc>
          <w:tcPr>
            <w:tcW w:w="1168" w:type="dxa"/>
            <w:tcBorders>
              <w:top w:val="single" w:sz="4" w:space="0" w:color="000000"/>
              <w:bottom w:val="single" w:sz="4" w:space="0" w:color="000000"/>
            </w:tcBorders>
          </w:tcPr>
          <w:p w14:paraId="56E5750A" w14:textId="77777777" w:rsidR="00F5166D" w:rsidRDefault="00623797">
            <w:pPr>
              <w:pStyle w:val="TableParagraph"/>
              <w:spacing w:before="59"/>
              <w:ind w:left="295" w:right="297"/>
              <w:jc w:val="center"/>
              <w:rPr>
                <w:sz w:val="18"/>
              </w:rPr>
            </w:pPr>
            <w:r>
              <w:rPr>
                <w:sz w:val="18"/>
              </w:rPr>
              <w:t>0.97</w:t>
            </w:r>
          </w:p>
        </w:tc>
        <w:tc>
          <w:tcPr>
            <w:tcW w:w="1101" w:type="dxa"/>
            <w:tcBorders>
              <w:top w:val="single" w:sz="4" w:space="0" w:color="000000"/>
              <w:bottom w:val="single" w:sz="4" w:space="0" w:color="000000"/>
            </w:tcBorders>
          </w:tcPr>
          <w:p w14:paraId="3BC7D2C1" w14:textId="77777777" w:rsidR="00F5166D" w:rsidRDefault="00623797">
            <w:pPr>
              <w:pStyle w:val="TableParagraph"/>
              <w:spacing w:before="59"/>
              <w:ind w:right="405"/>
              <w:rPr>
                <w:sz w:val="18"/>
              </w:rPr>
            </w:pPr>
            <w:r>
              <w:rPr>
                <w:sz w:val="18"/>
              </w:rPr>
              <w:t>0.44</w:t>
            </w:r>
          </w:p>
        </w:tc>
        <w:tc>
          <w:tcPr>
            <w:tcW w:w="1173" w:type="dxa"/>
            <w:tcBorders>
              <w:top w:val="single" w:sz="4" w:space="0" w:color="000000"/>
              <w:bottom w:val="single" w:sz="4" w:space="0" w:color="000000"/>
            </w:tcBorders>
          </w:tcPr>
          <w:p w14:paraId="7BED12F2" w14:textId="77777777" w:rsidR="00F5166D" w:rsidRDefault="00623797">
            <w:pPr>
              <w:pStyle w:val="TableParagraph"/>
              <w:spacing w:before="59"/>
              <w:ind w:left="271" w:right="326"/>
              <w:jc w:val="center"/>
              <w:rPr>
                <w:sz w:val="18"/>
              </w:rPr>
            </w:pPr>
            <w:r>
              <w:rPr>
                <w:sz w:val="18"/>
              </w:rPr>
              <w:t>&lt;0,038</w:t>
            </w:r>
          </w:p>
        </w:tc>
        <w:tc>
          <w:tcPr>
            <w:tcW w:w="1074" w:type="dxa"/>
            <w:tcBorders>
              <w:top w:val="single" w:sz="4" w:space="0" w:color="000000"/>
              <w:bottom w:val="single" w:sz="4" w:space="0" w:color="000000"/>
            </w:tcBorders>
          </w:tcPr>
          <w:p w14:paraId="50FCD024" w14:textId="77777777" w:rsidR="00F5166D" w:rsidRDefault="00623797">
            <w:pPr>
              <w:pStyle w:val="TableParagraph"/>
              <w:spacing w:before="59"/>
              <w:ind w:left="350"/>
              <w:jc w:val="left"/>
              <w:rPr>
                <w:sz w:val="18"/>
              </w:rPr>
            </w:pPr>
            <w:r>
              <w:rPr>
                <w:sz w:val="18"/>
              </w:rPr>
              <w:t>0.02</w:t>
            </w:r>
          </w:p>
        </w:tc>
      </w:tr>
      <w:tr w:rsidR="00F5166D" w14:paraId="6CA325C1" w14:textId="77777777">
        <w:trPr>
          <w:trHeight w:val="305"/>
        </w:trPr>
        <w:tc>
          <w:tcPr>
            <w:tcW w:w="1123" w:type="dxa"/>
            <w:tcBorders>
              <w:top w:val="single" w:sz="4" w:space="0" w:color="000000"/>
              <w:bottom w:val="single" w:sz="4" w:space="0" w:color="000000"/>
            </w:tcBorders>
          </w:tcPr>
          <w:p w14:paraId="10537339" w14:textId="77777777" w:rsidR="00F5166D" w:rsidRDefault="00623797">
            <w:pPr>
              <w:pStyle w:val="TableParagraph"/>
              <w:spacing w:before="59"/>
              <w:ind w:left="119"/>
              <w:jc w:val="left"/>
              <w:rPr>
                <w:sz w:val="18"/>
              </w:rPr>
            </w:pPr>
            <w:r>
              <w:rPr>
                <w:w w:val="115"/>
                <w:sz w:val="18"/>
              </w:rPr>
              <w:t>IAQ-Ν</w:t>
            </w:r>
          </w:p>
        </w:tc>
        <w:tc>
          <w:tcPr>
            <w:tcW w:w="1123" w:type="dxa"/>
            <w:tcBorders>
              <w:top w:val="single" w:sz="4" w:space="0" w:color="000000"/>
              <w:bottom w:val="single" w:sz="4" w:space="0" w:color="000000"/>
            </w:tcBorders>
          </w:tcPr>
          <w:p w14:paraId="6C77FB71" w14:textId="77777777" w:rsidR="00F5166D" w:rsidRDefault="00623797">
            <w:pPr>
              <w:pStyle w:val="TableParagraph"/>
              <w:spacing w:before="59"/>
              <w:ind w:left="323" w:right="324"/>
              <w:jc w:val="center"/>
              <w:rPr>
                <w:sz w:val="18"/>
              </w:rPr>
            </w:pPr>
            <w:r>
              <w:rPr>
                <w:sz w:val="18"/>
              </w:rPr>
              <w:t>0.55</w:t>
            </w:r>
          </w:p>
        </w:tc>
        <w:tc>
          <w:tcPr>
            <w:tcW w:w="1101" w:type="dxa"/>
            <w:tcBorders>
              <w:top w:val="single" w:sz="4" w:space="0" w:color="000000"/>
              <w:bottom w:val="single" w:sz="4" w:space="0" w:color="000000"/>
            </w:tcBorders>
          </w:tcPr>
          <w:p w14:paraId="51F5FE8F" w14:textId="77777777" w:rsidR="00F5166D" w:rsidRDefault="00623797">
            <w:pPr>
              <w:pStyle w:val="TableParagraph"/>
              <w:spacing w:before="59"/>
              <w:ind w:left="322" w:right="303"/>
              <w:jc w:val="center"/>
              <w:rPr>
                <w:sz w:val="18"/>
              </w:rPr>
            </w:pPr>
            <w:r>
              <w:rPr>
                <w:sz w:val="18"/>
              </w:rPr>
              <w:t>0.46</w:t>
            </w:r>
          </w:p>
        </w:tc>
        <w:tc>
          <w:tcPr>
            <w:tcW w:w="1168" w:type="dxa"/>
            <w:tcBorders>
              <w:top w:val="single" w:sz="4" w:space="0" w:color="000000"/>
              <w:bottom w:val="single" w:sz="4" w:space="0" w:color="000000"/>
            </w:tcBorders>
          </w:tcPr>
          <w:p w14:paraId="65338BFD" w14:textId="77777777" w:rsidR="00F5166D" w:rsidRDefault="00623797">
            <w:pPr>
              <w:pStyle w:val="TableParagraph"/>
              <w:spacing w:before="59"/>
              <w:ind w:left="295" w:right="297"/>
              <w:jc w:val="center"/>
              <w:rPr>
                <w:sz w:val="18"/>
              </w:rPr>
            </w:pPr>
            <w:r>
              <w:rPr>
                <w:sz w:val="18"/>
              </w:rPr>
              <w:t>1.03</w:t>
            </w:r>
          </w:p>
        </w:tc>
        <w:tc>
          <w:tcPr>
            <w:tcW w:w="1101" w:type="dxa"/>
            <w:tcBorders>
              <w:top w:val="single" w:sz="4" w:space="0" w:color="000000"/>
              <w:bottom w:val="single" w:sz="4" w:space="0" w:color="000000"/>
            </w:tcBorders>
          </w:tcPr>
          <w:p w14:paraId="058E532A" w14:textId="77777777" w:rsidR="00F5166D" w:rsidRDefault="00623797">
            <w:pPr>
              <w:pStyle w:val="TableParagraph"/>
              <w:spacing w:before="59"/>
              <w:ind w:right="405"/>
              <w:rPr>
                <w:sz w:val="18"/>
              </w:rPr>
            </w:pPr>
            <w:r>
              <w:rPr>
                <w:sz w:val="18"/>
              </w:rPr>
              <w:t>0.50</w:t>
            </w:r>
          </w:p>
        </w:tc>
        <w:tc>
          <w:tcPr>
            <w:tcW w:w="1173" w:type="dxa"/>
            <w:tcBorders>
              <w:top w:val="single" w:sz="4" w:space="0" w:color="000000"/>
              <w:bottom w:val="single" w:sz="4" w:space="0" w:color="000000"/>
            </w:tcBorders>
          </w:tcPr>
          <w:p w14:paraId="4019151A" w14:textId="77777777" w:rsidR="00F5166D" w:rsidRDefault="00623797">
            <w:pPr>
              <w:pStyle w:val="TableParagraph"/>
              <w:spacing w:before="59"/>
              <w:ind w:left="271" w:right="326"/>
              <w:jc w:val="center"/>
              <w:rPr>
                <w:sz w:val="18"/>
              </w:rPr>
            </w:pPr>
            <w:r>
              <w:rPr>
                <w:sz w:val="18"/>
              </w:rPr>
              <w:t>&lt;0,001</w:t>
            </w:r>
          </w:p>
        </w:tc>
        <w:tc>
          <w:tcPr>
            <w:tcW w:w="1074" w:type="dxa"/>
            <w:tcBorders>
              <w:top w:val="single" w:sz="4" w:space="0" w:color="000000"/>
              <w:bottom w:val="single" w:sz="4" w:space="0" w:color="000000"/>
            </w:tcBorders>
          </w:tcPr>
          <w:p w14:paraId="1D4B4BAE" w14:textId="77777777" w:rsidR="00F5166D" w:rsidRDefault="00623797">
            <w:pPr>
              <w:pStyle w:val="TableParagraph"/>
              <w:spacing w:before="59"/>
              <w:ind w:left="395"/>
              <w:jc w:val="left"/>
              <w:rPr>
                <w:sz w:val="18"/>
              </w:rPr>
            </w:pPr>
            <w:r>
              <w:rPr>
                <w:sz w:val="18"/>
              </w:rPr>
              <w:t>0.1</w:t>
            </w:r>
          </w:p>
        </w:tc>
      </w:tr>
      <w:tr w:rsidR="00F5166D" w14:paraId="490789E4" w14:textId="77777777">
        <w:trPr>
          <w:trHeight w:val="305"/>
        </w:trPr>
        <w:tc>
          <w:tcPr>
            <w:tcW w:w="1123" w:type="dxa"/>
            <w:tcBorders>
              <w:top w:val="single" w:sz="4" w:space="0" w:color="000000"/>
              <w:bottom w:val="single" w:sz="4" w:space="0" w:color="000000"/>
            </w:tcBorders>
          </w:tcPr>
          <w:p w14:paraId="49EC4B42" w14:textId="77777777" w:rsidR="00F5166D" w:rsidRDefault="00623797">
            <w:pPr>
              <w:pStyle w:val="TableParagraph"/>
              <w:spacing w:before="59"/>
              <w:ind w:left="119"/>
              <w:jc w:val="left"/>
              <w:rPr>
                <w:sz w:val="18"/>
              </w:rPr>
            </w:pPr>
            <w:r>
              <w:rPr>
                <w:w w:val="115"/>
                <w:sz w:val="18"/>
              </w:rPr>
              <w:t>IAQ-P</w:t>
            </w:r>
          </w:p>
        </w:tc>
        <w:tc>
          <w:tcPr>
            <w:tcW w:w="1123" w:type="dxa"/>
            <w:tcBorders>
              <w:top w:val="single" w:sz="4" w:space="0" w:color="000000"/>
              <w:bottom w:val="single" w:sz="4" w:space="0" w:color="000000"/>
            </w:tcBorders>
          </w:tcPr>
          <w:p w14:paraId="090FFD6B" w14:textId="77777777" w:rsidR="00F5166D" w:rsidRDefault="00623797">
            <w:pPr>
              <w:pStyle w:val="TableParagraph"/>
              <w:spacing w:before="59"/>
              <w:ind w:left="323" w:right="324"/>
              <w:jc w:val="center"/>
              <w:rPr>
                <w:sz w:val="18"/>
              </w:rPr>
            </w:pPr>
            <w:r>
              <w:rPr>
                <w:sz w:val="18"/>
              </w:rPr>
              <w:t>1.21</w:t>
            </w:r>
          </w:p>
        </w:tc>
        <w:tc>
          <w:tcPr>
            <w:tcW w:w="1101" w:type="dxa"/>
            <w:tcBorders>
              <w:top w:val="single" w:sz="4" w:space="0" w:color="000000"/>
              <w:bottom w:val="single" w:sz="4" w:space="0" w:color="000000"/>
            </w:tcBorders>
          </w:tcPr>
          <w:p w14:paraId="4579AE90" w14:textId="77777777" w:rsidR="00F5166D" w:rsidRDefault="00623797">
            <w:pPr>
              <w:pStyle w:val="TableParagraph"/>
              <w:spacing w:before="59"/>
              <w:ind w:left="322" w:right="303"/>
              <w:jc w:val="center"/>
              <w:rPr>
                <w:sz w:val="18"/>
              </w:rPr>
            </w:pPr>
            <w:r>
              <w:rPr>
                <w:sz w:val="18"/>
              </w:rPr>
              <w:t>0.28</w:t>
            </w:r>
          </w:p>
        </w:tc>
        <w:tc>
          <w:tcPr>
            <w:tcW w:w="1168" w:type="dxa"/>
            <w:tcBorders>
              <w:top w:val="single" w:sz="4" w:space="0" w:color="000000"/>
              <w:bottom w:val="single" w:sz="4" w:space="0" w:color="000000"/>
            </w:tcBorders>
          </w:tcPr>
          <w:p w14:paraId="682AA918" w14:textId="77777777" w:rsidR="00F5166D" w:rsidRDefault="00623797">
            <w:pPr>
              <w:pStyle w:val="TableParagraph"/>
              <w:spacing w:before="59"/>
              <w:ind w:left="295" w:right="297"/>
              <w:jc w:val="center"/>
              <w:rPr>
                <w:sz w:val="18"/>
              </w:rPr>
            </w:pPr>
            <w:r>
              <w:rPr>
                <w:sz w:val="18"/>
              </w:rPr>
              <w:t>0.95</w:t>
            </w:r>
          </w:p>
        </w:tc>
        <w:tc>
          <w:tcPr>
            <w:tcW w:w="1101" w:type="dxa"/>
            <w:tcBorders>
              <w:top w:val="single" w:sz="4" w:space="0" w:color="000000"/>
              <w:bottom w:val="single" w:sz="4" w:space="0" w:color="000000"/>
            </w:tcBorders>
          </w:tcPr>
          <w:p w14:paraId="47A5F54E" w14:textId="77777777" w:rsidR="00F5166D" w:rsidRDefault="00623797">
            <w:pPr>
              <w:pStyle w:val="TableParagraph"/>
              <w:spacing w:before="59"/>
              <w:ind w:right="405"/>
              <w:rPr>
                <w:sz w:val="18"/>
              </w:rPr>
            </w:pPr>
            <w:r>
              <w:rPr>
                <w:sz w:val="18"/>
              </w:rPr>
              <w:t>0.32</w:t>
            </w:r>
          </w:p>
        </w:tc>
        <w:tc>
          <w:tcPr>
            <w:tcW w:w="1173" w:type="dxa"/>
            <w:tcBorders>
              <w:top w:val="single" w:sz="4" w:space="0" w:color="000000"/>
              <w:bottom w:val="single" w:sz="4" w:space="0" w:color="000000"/>
            </w:tcBorders>
          </w:tcPr>
          <w:p w14:paraId="44C08747" w14:textId="77777777" w:rsidR="00F5166D" w:rsidRDefault="00623797">
            <w:pPr>
              <w:pStyle w:val="TableParagraph"/>
              <w:spacing w:before="59"/>
              <w:ind w:left="271" w:right="326"/>
              <w:jc w:val="center"/>
              <w:rPr>
                <w:sz w:val="18"/>
              </w:rPr>
            </w:pPr>
            <w:r>
              <w:rPr>
                <w:sz w:val="18"/>
              </w:rPr>
              <w:t>&lt;0,001</w:t>
            </w:r>
          </w:p>
        </w:tc>
        <w:tc>
          <w:tcPr>
            <w:tcW w:w="1074" w:type="dxa"/>
            <w:tcBorders>
              <w:top w:val="single" w:sz="4" w:space="0" w:color="000000"/>
              <w:bottom w:val="single" w:sz="4" w:space="0" w:color="000000"/>
            </w:tcBorders>
          </w:tcPr>
          <w:p w14:paraId="291295BF" w14:textId="77777777" w:rsidR="00F5166D" w:rsidRDefault="00623797">
            <w:pPr>
              <w:pStyle w:val="TableParagraph"/>
              <w:spacing w:before="59"/>
              <w:ind w:left="395"/>
              <w:jc w:val="left"/>
              <w:rPr>
                <w:sz w:val="18"/>
              </w:rPr>
            </w:pPr>
            <w:r>
              <w:rPr>
                <w:sz w:val="18"/>
              </w:rPr>
              <w:t>0.1</w:t>
            </w:r>
          </w:p>
        </w:tc>
      </w:tr>
      <w:tr w:rsidR="00F5166D" w14:paraId="2B04E2D9" w14:textId="77777777">
        <w:trPr>
          <w:trHeight w:val="305"/>
        </w:trPr>
        <w:tc>
          <w:tcPr>
            <w:tcW w:w="1123" w:type="dxa"/>
            <w:tcBorders>
              <w:top w:val="single" w:sz="4" w:space="0" w:color="000000"/>
              <w:bottom w:val="single" w:sz="4" w:space="0" w:color="000000"/>
            </w:tcBorders>
          </w:tcPr>
          <w:p w14:paraId="4141D0EF" w14:textId="77777777" w:rsidR="00F5166D" w:rsidRDefault="00623797">
            <w:pPr>
              <w:pStyle w:val="TableParagraph"/>
              <w:spacing w:before="59"/>
              <w:ind w:left="119"/>
              <w:jc w:val="left"/>
              <w:rPr>
                <w:sz w:val="18"/>
              </w:rPr>
            </w:pPr>
            <w:r>
              <w:rPr>
                <w:w w:val="115"/>
                <w:sz w:val="18"/>
              </w:rPr>
              <w:t>IAQ-S</w:t>
            </w:r>
          </w:p>
        </w:tc>
        <w:tc>
          <w:tcPr>
            <w:tcW w:w="1123" w:type="dxa"/>
            <w:tcBorders>
              <w:top w:val="single" w:sz="4" w:space="0" w:color="000000"/>
              <w:bottom w:val="single" w:sz="4" w:space="0" w:color="000000"/>
            </w:tcBorders>
          </w:tcPr>
          <w:p w14:paraId="14F94A40" w14:textId="77777777" w:rsidR="00F5166D" w:rsidRDefault="00623797">
            <w:pPr>
              <w:pStyle w:val="TableParagraph"/>
              <w:spacing w:before="59"/>
              <w:ind w:left="323" w:right="324"/>
              <w:jc w:val="center"/>
              <w:rPr>
                <w:sz w:val="18"/>
              </w:rPr>
            </w:pPr>
            <w:r>
              <w:rPr>
                <w:sz w:val="18"/>
              </w:rPr>
              <w:t>1.49</w:t>
            </w:r>
          </w:p>
        </w:tc>
        <w:tc>
          <w:tcPr>
            <w:tcW w:w="1101" w:type="dxa"/>
            <w:tcBorders>
              <w:top w:val="single" w:sz="4" w:space="0" w:color="000000"/>
              <w:bottom w:val="single" w:sz="4" w:space="0" w:color="000000"/>
            </w:tcBorders>
          </w:tcPr>
          <w:p w14:paraId="3AA24288" w14:textId="77777777" w:rsidR="00F5166D" w:rsidRDefault="00623797">
            <w:pPr>
              <w:pStyle w:val="TableParagraph"/>
              <w:spacing w:before="59"/>
              <w:ind w:left="322" w:right="303"/>
              <w:jc w:val="center"/>
              <w:rPr>
                <w:sz w:val="18"/>
              </w:rPr>
            </w:pPr>
            <w:r>
              <w:rPr>
                <w:sz w:val="18"/>
              </w:rPr>
              <w:t>0.38</w:t>
            </w:r>
          </w:p>
        </w:tc>
        <w:tc>
          <w:tcPr>
            <w:tcW w:w="1168" w:type="dxa"/>
            <w:tcBorders>
              <w:top w:val="single" w:sz="4" w:space="0" w:color="000000"/>
              <w:bottom w:val="single" w:sz="4" w:space="0" w:color="000000"/>
            </w:tcBorders>
          </w:tcPr>
          <w:p w14:paraId="7DDF279B" w14:textId="77777777" w:rsidR="00F5166D" w:rsidRDefault="00623797">
            <w:pPr>
              <w:pStyle w:val="TableParagraph"/>
              <w:spacing w:before="59"/>
              <w:ind w:left="295" w:right="297"/>
              <w:jc w:val="center"/>
              <w:rPr>
                <w:sz w:val="18"/>
              </w:rPr>
            </w:pPr>
            <w:r>
              <w:rPr>
                <w:sz w:val="18"/>
              </w:rPr>
              <w:t>0.83</w:t>
            </w:r>
          </w:p>
        </w:tc>
        <w:tc>
          <w:tcPr>
            <w:tcW w:w="1101" w:type="dxa"/>
            <w:tcBorders>
              <w:top w:val="single" w:sz="4" w:space="0" w:color="000000"/>
              <w:bottom w:val="single" w:sz="4" w:space="0" w:color="000000"/>
            </w:tcBorders>
          </w:tcPr>
          <w:p w14:paraId="74FF5B18" w14:textId="77777777" w:rsidR="00F5166D" w:rsidRDefault="00623797">
            <w:pPr>
              <w:pStyle w:val="TableParagraph"/>
              <w:spacing w:before="59"/>
              <w:ind w:right="405"/>
              <w:rPr>
                <w:sz w:val="18"/>
              </w:rPr>
            </w:pPr>
            <w:r>
              <w:rPr>
                <w:sz w:val="18"/>
              </w:rPr>
              <w:t>0.55</w:t>
            </w:r>
          </w:p>
        </w:tc>
        <w:tc>
          <w:tcPr>
            <w:tcW w:w="1173" w:type="dxa"/>
            <w:tcBorders>
              <w:top w:val="single" w:sz="4" w:space="0" w:color="000000"/>
              <w:bottom w:val="single" w:sz="4" w:space="0" w:color="000000"/>
            </w:tcBorders>
          </w:tcPr>
          <w:p w14:paraId="0356963E" w14:textId="77777777" w:rsidR="00F5166D" w:rsidRDefault="00623797">
            <w:pPr>
              <w:pStyle w:val="TableParagraph"/>
              <w:spacing w:before="59"/>
              <w:ind w:left="271" w:right="326"/>
              <w:jc w:val="center"/>
              <w:rPr>
                <w:sz w:val="18"/>
              </w:rPr>
            </w:pPr>
            <w:r>
              <w:rPr>
                <w:sz w:val="18"/>
              </w:rPr>
              <w:t>&lt;0,001</w:t>
            </w:r>
          </w:p>
        </w:tc>
        <w:tc>
          <w:tcPr>
            <w:tcW w:w="1074" w:type="dxa"/>
            <w:tcBorders>
              <w:top w:val="single" w:sz="4" w:space="0" w:color="000000"/>
              <w:bottom w:val="single" w:sz="4" w:space="0" w:color="000000"/>
            </w:tcBorders>
          </w:tcPr>
          <w:p w14:paraId="2BCE7901" w14:textId="77777777" w:rsidR="00F5166D" w:rsidRDefault="00623797">
            <w:pPr>
              <w:pStyle w:val="TableParagraph"/>
              <w:spacing w:before="59"/>
              <w:ind w:left="395"/>
              <w:jc w:val="left"/>
              <w:rPr>
                <w:sz w:val="18"/>
              </w:rPr>
            </w:pPr>
            <w:r>
              <w:rPr>
                <w:sz w:val="18"/>
              </w:rPr>
              <w:t>0.2</w:t>
            </w:r>
          </w:p>
        </w:tc>
      </w:tr>
      <w:tr w:rsidR="00F5166D" w14:paraId="6BD18E23" w14:textId="77777777">
        <w:trPr>
          <w:trHeight w:val="305"/>
        </w:trPr>
        <w:tc>
          <w:tcPr>
            <w:tcW w:w="1123" w:type="dxa"/>
            <w:tcBorders>
              <w:top w:val="single" w:sz="4" w:space="0" w:color="000000"/>
              <w:bottom w:val="single" w:sz="4" w:space="0" w:color="000000"/>
            </w:tcBorders>
          </w:tcPr>
          <w:p w14:paraId="757F5D3F" w14:textId="77777777" w:rsidR="00F5166D" w:rsidRDefault="00623797">
            <w:pPr>
              <w:pStyle w:val="TableParagraph"/>
              <w:spacing w:before="59"/>
              <w:ind w:left="119"/>
              <w:jc w:val="left"/>
              <w:rPr>
                <w:sz w:val="18"/>
              </w:rPr>
            </w:pPr>
            <w:r>
              <w:rPr>
                <w:w w:val="110"/>
                <w:sz w:val="18"/>
              </w:rPr>
              <w:t>GSE TOT</w:t>
            </w:r>
          </w:p>
        </w:tc>
        <w:tc>
          <w:tcPr>
            <w:tcW w:w="1123" w:type="dxa"/>
            <w:tcBorders>
              <w:top w:val="single" w:sz="4" w:space="0" w:color="000000"/>
              <w:bottom w:val="single" w:sz="4" w:space="0" w:color="000000"/>
            </w:tcBorders>
          </w:tcPr>
          <w:p w14:paraId="32291F7E" w14:textId="77777777" w:rsidR="00F5166D" w:rsidRDefault="00623797">
            <w:pPr>
              <w:pStyle w:val="TableParagraph"/>
              <w:spacing w:before="59"/>
              <w:ind w:left="323" w:right="324"/>
              <w:jc w:val="center"/>
              <w:rPr>
                <w:sz w:val="18"/>
              </w:rPr>
            </w:pPr>
            <w:r>
              <w:rPr>
                <w:sz w:val="18"/>
              </w:rPr>
              <w:t>17.03</w:t>
            </w:r>
          </w:p>
        </w:tc>
        <w:tc>
          <w:tcPr>
            <w:tcW w:w="1101" w:type="dxa"/>
            <w:tcBorders>
              <w:top w:val="single" w:sz="4" w:space="0" w:color="000000"/>
              <w:bottom w:val="single" w:sz="4" w:space="0" w:color="000000"/>
            </w:tcBorders>
          </w:tcPr>
          <w:p w14:paraId="6EA9E3EF" w14:textId="77777777" w:rsidR="00F5166D" w:rsidRDefault="00623797">
            <w:pPr>
              <w:pStyle w:val="TableParagraph"/>
              <w:spacing w:before="59"/>
              <w:ind w:left="322" w:right="303"/>
              <w:jc w:val="center"/>
              <w:rPr>
                <w:sz w:val="18"/>
              </w:rPr>
            </w:pPr>
            <w:r>
              <w:rPr>
                <w:sz w:val="18"/>
              </w:rPr>
              <w:t>6.30</w:t>
            </w:r>
          </w:p>
        </w:tc>
        <w:tc>
          <w:tcPr>
            <w:tcW w:w="1168" w:type="dxa"/>
            <w:tcBorders>
              <w:top w:val="single" w:sz="4" w:space="0" w:color="000000"/>
              <w:bottom w:val="single" w:sz="4" w:space="0" w:color="000000"/>
            </w:tcBorders>
          </w:tcPr>
          <w:p w14:paraId="069A4CC0" w14:textId="77777777" w:rsidR="00F5166D" w:rsidRDefault="00623797">
            <w:pPr>
              <w:pStyle w:val="TableParagraph"/>
              <w:spacing w:before="59"/>
              <w:ind w:left="295" w:right="297"/>
              <w:jc w:val="center"/>
              <w:rPr>
                <w:sz w:val="18"/>
              </w:rPr>
            </w:pPr>
            <w:r>
              <w:rPr>
                <w:sz w:val="18"/>
              </w:rPr>
              <w:t>28.28</w:t>
            </w:r>
          </w:p>
        </w:tc>
        <w:tc>
          <w:tcPr>
            <w:tcW w:w="1101" w:type="dxa"/>
            <w:tcBorders>
              <w:top w:val="single" w:sz="4" w:space="0" w:color="000000"/>
              <w:bottom w:val="single" w:sz="4" w:space="0" w:color="000000"/>
            </w:tcBorders>
          </w:tcPr>
          <w:p w14:paraId="687F1E37" w14:textId="77777777" w:rsidR="00F5166D" w:rsidRDefault="00623797">
            <w:pPr>
              <w:pStyle w:val="TableParagraph"/>
              <w:spacing w:before="59"/>
              <w:ind w:right="405"/>
              <w:rPr>
                <w:sz w:val="18"/>
              </w:rPr>
            </w:pPr>
            <w:r>
              <w:rPr>
                <w:sz w:val="18"/>
              </w:rPr>
              <w:t>9.70</w:t>
            </w:r>
          </w:p>
        </w:tc>
        <w:tc>
          <w:tcPr>
            <w:tcW w:w="1173" w:type="dxa"/>
            <w:tcBorders>
              <w:top w:val="single" w:sz="4" w:space="0" w:color="000000"/>
              <w:bottom w:val="single" w:sz="4" w:space="0" w:color="000000"/>
            </w:tcBorders>
          </w:tcPr>
          <w:p w14:paraId="6FB71438" w14:textId="77777777" w:rsidR="00F5166D" w:rsidRDefault="00623797">
            <w:pPr>
              <w:pStyle w:val="TableParagraph"/>
              <w:spacing w:before="59"/>
              <w:ind w:left="271" w:right="326"/>
              <w:jc w:val="center"/>
              <w:rPr>
                <w:sz w:val="18"/>
              </w:rPr>
            </w:pPr>
            <w:r>
              <w:rPr>
                <w:sz w:val="18"/>
              </w:rPr>
              <w:t>&lt;0,001</w:t>
            </w:r>
          </w:p>
        </w:tc>
        <w:tc>
          <w:tcPr>
            <w:tcW w:w="1074" w:type="dxa"/>
            <w:tcBorders>
              <w:top w:val="single" w:sz="4" w:space="0" w:color="000000"/>
              <w:bottom w:val="single" w:sz="4" w:space="0" w:color="000000"/>
            </w:tcBorders>
          </w:tcPr>
          <w:p w14:paraId="5D8FAC4A" w14:textId="77777777" w:rsidR="00F5166D" w:rsidRDefault="00623797">
            <w:pPr>
              <w:pStyle w:val="TableParagraph"/>
              <w:spacing w:before="59"/>
              <w:ind w:left="395"/>
              <w:jc w:val="left"/>
              <w:rPr>
                <w:sz w:val="18"/>
              </w:rPr>
            </w:pPr>
            <w:r>
              <w:rPr>
                <w:sz w:val="18"/>
              </w:rPr>
              <w:t>0.2</w:t>
            </w:r>
          </w:p>
        </w:tc>
      </w:tr>
      <w:tr w:rsidR="00F5166D" w14:paraId="22EA2537" w14:textId="77777777">
        <w:trPr>
          <w:trHeight w:val="305"/>
        </w:trPr>
        <w:tc>
          <w:tcPr>
            <w:tcW w:w="1123" w:type="dxa"/>
            <w:tcBorders>
              <w:top w:val="single" w:sz="4" w:space="0" w:color="000000"/>
              <w:bottom w:val="single" w:sz="8" w:space="0" w:color="000000"/>
            </w:tcBorders>
          </w:tcPr>
          <w:p w14:paraId="6146CD33" w14:textId="77777777" w:rsidR="00F5166D" w:rsidRDefault="00623797">
            <w:pPr>
              <w:pStyle w:val="TableParagraph"/>
              <w:spacing w:before="59"/>
              <w:ind w:left="119"/>
              <w:jc w:val="left"/>
              <w:rPr>
                <w:sz w:val="18"/>
              </w:rPr>
            </w:pPr>
            <w:r>
              <w:rPr>
                <w:w w:val="110"/>
                <w:sz w:val="18"/>
              </w:rPr>
              <w:t>MSS TOT</w:t>
            </w:r>
          </w:p>
        </w:tc>
        <w:tc>
          <w:tcPr>
            <w:tcW w:w="1123" w:type="dxa"/>
            <w:tcBorders>
              <w:top w:val="single" w:sz="4" w:space="0" w:color="000000"/>
              <w:bottom w:val="single" w:sz="8" w:space="0" w:color="000000"/>
            </w:tcBorders>
          </w:tcPr>
          <w:p w14:paraId="743AFA5C" w14:textId="77777777" w:rsidR="00F5166D" w:rsidRDefault="00623797">
            <w:pPr>
              <w:pStyle w:val="TableParagraph"/>
              <w:spacing w:before="59"/>
              <w:ind w:left="323" w:right="324"/>
              <w:jc w:val="center"/>
              <w:rPr>
                <w:sz w:val="18"/>
              </w:rPr>
            </w:pPr>
            <w:r>
              <w:rPr>
                <w:sz w:val="18"/>
              </w:rPr>
              <w:t>86.57</w:t>
            </w:r>
          </w:p>
        </w:tc>
        <w:tc>
          <w:tcPr>
            <w:tcW w:w="1101" w:type="dxa"/>
            <w:tcBorders>
              <w:top w:val="single" w:sz="4" w:space="0" w:color="000000"/>
              <w:bottom w:val="single" w:sz="8" w:space="0" w:color="000000"/>
            </w:tcBorders>
          </w:tcPr>
          <w:p w14:paraId="15A39DA6" w14:textId="77777777" w:rsidR="00F5166D" w:rsidRDefault="00623797">
            <w:pPr>
              <w:pStyle w:val="TableParagraph"/>
              <w:spacing w:before="59"/>
              <w:ind w:left="322" w:right="303"/>
              <w:jc w:val="center"/>
              <w:rPr>
                <w:sz w:val="18"/>
              </w:rPr>
            </w:pPr>
            <w:r>
              <w:rPr>
                <w:sz w:val="18"/>
              </w:rPr>
              <w:t>12.98</w:t>
            </w:r>
          </w:p>
        </w:tc>
        <w:tc>
          <w:tcPr>
            <w:tcW w:w="1168" w:type="dxa"/>
            <w:tcBorders>
              <w:top w:val="single" w:sz="4" w:space="0" w:color="000000"/>
              <w:bottom w:val="single" w:sz="8" w:space="0" w:color="000000"/>
            </w:tcBorders>
          </w:tcPr>
          <w:p w14:paraId="40E3B775" w14:textId="77777777" w:rsidR="00F5166D" w:rsidRDefault="00623797">
            <w:pPr>
              <w:pStyle w:val="TableParagraph"/>
              <w:spacing w:before="59"/>
              <w:ind w:left="295" w:right="297"/>
              <w:jc w:val="center"/>
              <w:rPr>
                <w:sz w:val="18"/>
              </w:rPr>
            </w:pPr>
            <w:r>
              <w:rPr>
                <w:sz w:val="18"/>
              </w:rPr>
              <w:t>121.33</w:t>
            </w:r>
          </w:p>
        </w:tc>
        <w:tc>
          <w:tcPr>
            <w:tcW w:w="1101" w:type="dxa"/>
            <w:tcBorders>
              <w:top w:val="single" w:sz="4" w:space="0" w:color="000000"/>
              <w:bottom w:val="single" w:sz="8" w:space="0" w:color="000000"/>
            </w:tcBorders>
          </w:tcPr>
          <w:p w14:paraId="7B01C849" w14:textId="77777777" w:rsidR="00F5166D" w:rsidRDefault="00623797">
            <w:pPr>
              <w:pStyle w:val="TableParagraph"/>
              <w:spacing w:before="59"/>
              <w:ind w:right="360"/>
              <w:rPr>
                <w:sz w:val="18"/>
              </w:rPr>
            </w:pPr>
            <w:r>
              <w:rPr>
                <w:sz w:val="18"/>
              </w:rPr>
              <w:t>29.55</w:t>
            </w:r>
          </w:p>
        </w:tc>
        <w:tc>
          <w:tcPr>
            <w:tcW w:w="1173" w:type="dxa"/>
            <w:tcBorders>
              <w:top w:val="single" w:sz="4" w:space="0" w:color="000000"/>
              <w:bottom w:val="single" w:sz="8" w:space="0" w:color="000000"/>
            </w:tcBorders>
          </w:tcPr>
          <w:p w14:paraId="0E6D8EFC" w14:textId="77777777" w:rsidR="00F5166D" w:rsidRDefault="00623797">
            <w:pPr>
              <w:pStyle w:val="TableParagraph"/>
              <w:spacing w:before="59"/>
              <w:ind w:left="271" w:right="326"/>
              <w:jc w:val="center"/>
              <w:rPr>
                <w:sz w:val="18"/>
              </w:rPr>
            </w:pPr>
            <w:r>
              <w:rPr>
                <w:sz w:val="18"/>
              </w:rPr>
              <w:t>&lt;0,001</w:t>
            </w:r>
          </w:p>
        </w:tc>
        <w:tc>
          <w:tcPr>
            <w:tcW w:w="1074" w:type="dxa"/>
            <w:tcBorders>
              <w:top w:val="single" w:sz="4" w:space="0" w:color="000000"/>
              <w:bottom w:val="single" w:sz="8" w:space="0" w:color="000000"/>
            </w:tcBorders>
          </w:tcPr>
          <w:p w14:paraId="1C1313C5" w14:textId="77777777" w:rsidR="00F5166D" w:rsidRDefault="00623797">
            <w:pPr>
              <w:pStyle w:val="TableParagraph"/>
              <w:spacing w:before="59"/>
              <w:ind w:left="350"/>
              <w:jc w:val="left"/>
              <w:rPr>
                <w:sz w:val="18"/>
              </w:rPr>
            </w:pPr>
            <w:r>
              <w:rPr>
                <w:sz w:val="18"/>
              </w:rPr>
              <w:t>0.04</w:t>
            </w:r>
          </w:p>
        </w:tc>
      </w:tr>
    </w:tbl>
    <w:p w14:paraId="0BA26EBF" w14:textId="77777777" w:rsidR="00F5166D" w:rsidRPr="00D11C54" w:rsidRDefault="00623797">
      <w:pPr>
        <w:ind w:left="2727" w:right="111"/>
        <w:jc w:val="both"/>
        <w:rPr>
          <w:sz w:val="16"/>
          <w:lang w:val="el-GR"/>
        </w:rPr>
      </w:pPr>
      <w:r w:rsidRPr="00D11C54">
        <w:rPr>
          <w:w w:val="105"/>
          <w:sz w:val="16"/>
          <w:lang w:val="el-GR"/>
        </w:rPr>
        <w:t xml:space="preserve">Σημειώσεις: </w:t>
      </w:r>
      <w:r>
        <w:rPr>
          <w:w w:val="105"/>
          <w:sz w:val="16"/>
        </w:rPr>
        <w:t>SLD</w:t>
      </w:r>
      <w:r w:rsidRPr="00D11C54">
        <w:rPr>
          <w:w w:val="105"/>
          <w:sz w:val="16"/>
          <w:lang w:val="el-GR"/>
        </w:rPr>
        <w:t xml:space="preserve"> = ειδική μαθησιακή διαταραχή.  </w:t>
      </w:r>
      <w:r>
        <w:rPr>
          <w:w w:val="105"/>
          <w:sz w:val="16"/>
        </w:rPr>
        <w:t>IAQ</w:t>
      </w:r>
      <w:r w:rsidRPr="00D11C54">
        <w:rPr>
          <w:w w:val="105"/>
          <w:sz w:val="16"/>
          <w:lang w:val="el-GR"/>
        </w:rPr>
        <w:t>-</w:t>
      </w:r>
      <w:r>
        <w:rPr>
          <w:w w:val="105"/>
          <w:sz w:val="16"/>
        </w:rPr>
        <w:t>A</w:t>
      </w:r>
      <w:r w:rsidRPr="00D11C54">
        <w:rPr>
          <w:w w:val="105"/>
          <w:sz w:val="16"/>
          <w:lang w:val="el-GR"/>
        </w:rPr>
        <w:t xml:space="preserve"> = ερωτηματολόγιο διαπροσωπικής προσαρμογής — μη σύνδεση· </w:t>
      </w:r>
      <w:r>
        <w:rPr>
          <w:w w:val="105"/>
          <w:sz w:val="16"/>
        </w:rPr>
        <w:t>IAQ</w:t>
      </w:r>
      <w:r w:rsidRPr="00D11C54">
        <w:rPr>
          <w:w w:val="105"/>
          <w:sz w:val="16"/>
          <w:lang w:val="el-GR"/>
        </w:rPr>
        <w:t>-</w:t>
      </w:r>
      <w:r>
        <w:rPr>
          <w:w w:val="105"/>
          <w:sz w:val="16"/>
        </w:rPr>
        <w:t>I</w:t>
      </w:r>
      <w:r w:rsidRPr="00D11C54">
        <w:rPr>
          <w:w w:val="105"/>
          <w:sz w:val="16"/>
          <w:lang w:val="el-GR"/>
        </w:rPr>
        <w:t xml:space="preserve"> = ερωτηματολόγιο διαπροσωπικής προσαρμογής—παρορμητικότητα·  </w:t>
      </w:r>
      <w:r>
        <w:rPr>
          <w:w w:val="105"/>
          <w:sz w:val="16"/>
        </w:rPr>
        <w:t>IAQ</w:t>
      </w:r>
      <w:r w:rsidRPr="00D11C54">
        <w:rPr>
          <w:w w:val="105"/>
          <w:sz w:val="16"/>
          <w:lang w:val="el-GR"/>
        </w:rPr>
        <w:t>-</w:t>
      </w:r>
      <w:r>
        <w:rPr>
          <w:w w:val="105"/>
          <w:sz w:val="16"/>
        </w:rPr>
        <w:t>N</w:t>
      </w:r>
      <w:r w:rsidRPr="00D11C54">
        <w:rPr>
          <w:w w:val="105"/>
          <w:sz w:val="16"/>
          <w:lang w:val="el-GR"/>
        </w:rPr>
        <w:t xml:space="preserve"> = ερωτηματολόγιο διαπροσωπικής προσαρμογής—ναρκισσισμός· </w:t>
      </w:r>
      <w:r>
        <w:rPr>
          <w:w w:val="105"/>
          <w:sz w:val="16"/>
        </w:rPr>
        <w:t>IAQ</w:t>
      </w:r>
      <w:r w:rsidRPr="00D11C54">
        <w:rPr>
          <w:w w:val="105"/>
          <w:sz w:val="16"/>
          <w:lang w:val="el-GR"/>
        </w:rPr>
        <w:t>-</w:t>
      </w:r>
      <w:r>
        <w:rPr>
          <w:w w:val="105"/>
          <w:sz w:val="16"/>
        </w:rPr>
        <w:t>P</w:t>
      </w:r>
      <w:r w:rsidRPr="00D11C54">
        <w:rPr>
          <w:w w:val="105"/>
          <w:sz w:val="16"/>
          <w:lang w:val="el-GR"/>
        </w:rPr>
        <w:t xml:space="preserve"> = ερωτηματολόγιο διαπροσωπικής προσαρμογής – κοινωνική ανησυχία· </w:t>
      </w:r>
      <w:r>
        <w:rPr>
          <w:w w:val="105"/>
          <w:sz w:val="16"/>
        </w:rPr>
        <w:t>IAQ</w:t>
      </w:r>
      <w:r w:rsidRPr="00D11C54">
        <w:rPr>
          <w:w w:val="105"/>
          <w:sz w:val="16"/>
          <w:lang w:val="el-GR"/>
        </w:rPr>
        <w:t>-</w:t>
      </w:r>
      <w:r>
        <w:rPr>
          <w:w w:val="105"/>
          <w:sz w:val="16"/>
        </w:rPr>
        <w:t>S</w:t>
      </w:r>
      <w:r w:rsidRPr="00D11C54">
        <w:rPr>
          <w:w w:val="105"/>
          <w:sz w:val="16"/>
          <w:lang w:val="el-GR"/>
        </w:rPr>
        <w:t xml:space="preserve"> = ερωτηματολόγιο διαπροσωπικής προσαρμογής - άγχος στην κοινωνική κατάσταση. </w:t>
      </w:r>
      <w:r>
        <w:rPr>
          <w:w w:val="105"/>
          <w:sz w:val="16"/>
        </w:rPr>
        <w:t>GSE</w:t>
      </w:r>
      <w:r w:rsidRPr="00D11C54">
        <w:rPr>
          <w:w w:val="105"/>
          <w:sz w:val="16"/>
          <w:lang w:val="el-GR"/>
        </w:rPr>
        <w:t xml:space="preserve"> = γενική κλίμακα αυτοαποτελεσματικότητας· </w:t>
      </w:r>
      <w:r>
        <w:rPr>
          <w:w w:val="105"/>
          <w:sz w:val="16"/>
        </w:rPr>
        <w:t>MSS</w:t>
      </w:r>
      <w:r w:rsidRPr="00D11C54">
        <w:rPr>
          <w:w w:val="105"/>
          <w:sz w:val="16"/>
          <w:lang w:val="el-GR"/>
        </w:rPr>
        <w:t xml:space="preserve"> = κλίμακα μεταγνωστικών δεξιοτήτων. * Δοκιμή </w:t>
      </w:r>
      <w:r>
        <w:rPr>
          <w:w w:val="105"/>
          <w:sz w:val="16"/>
        </w:rPr>
        <w:t>Mann</w:t>
      </w:r>
      <w:r w:rsidRPr="00D11C54">
        <w:rPr>
          <w:w w:val="105"/>
          <w:sz w:val="16"/>
          <w:lang w:val="el-GR"/>
        </w:rPr>
        <w:t>-</w:t>
      </w:r>
      <w:r>
        <w:rPr>
          <w:w w:val="105"/>
          <w:sz w:val="16"/>
        </w:rPr>
        <w:t>Whitney</w:t>
      </w:r>
      <w:r w:rsidRPr="00D11C54">
        <w:rPr>
          <w:w w:val="105"/>
          <w:sz w:val="16"/>
          <w:lang w:val="el-GR"/>
        </w:rPr>
        <w:t xml:space="preserve"> </w:t>
      </w:r>
      <w:r>
        <w:rPr>
          <w:w w:val="105"/>
          <w:sz w:val="16"/>
        </w:rPr>
        <w:t>U</w:t>
      </w:r>
      <w:r w:rsidRPr="00D11C54">
        <w:rPr>
          <w:w w:val="105"/>
          <w:sz w:val="16"/>
          <w:lang w:val="el-GR"/>
        </w:rPr>
        <w:t>.</w:t>
      </w:r>
    </w:p>
    <w:p w14:paraId="717F5EF7" w14:textId="77777777" w:rsidR="00F5166D" w:rsidRPr="00D11C54" w:rsidRDefault="00F5166D">
      <w:pPr>
        <w:pStyle w:val="a3"/>
        <w:spacing w:before="7"/>
        <w:rPr>
          <w:sz w:val="16"/>
          <w:lang w:val="el-GR"/>
        </w:rPr>
      </w:pPr>
    </w:p>
    <w:p w14:paraId="3E6B11CE" w14:textId="77777777" w:rsidR="00F5166D" w:rsidRPr="00D11C54" w:rsidRDefault="00623797">
      <w:pPr>
        <w:pStyle w:val="a3"/>
        <w:spacing w:line="254" w:lineRule="auto"/>
        <w:ind w:left="2721" w:right="139" w:firstLine="431"/>
        <w:jc w:val="both"/>
        <w:rPr>
          <w:lang w:val="el-GR"/>
        </w:rPr>
      </w:pPr>
      <w:r w:rsidRPr="00D11C54">
        <w:rPr>
          <w:w w:val="105"/>
          <w:lang w:val="el-GR"/>
        </w:rPr>
        <w:t xml:space="preserve">Τέλος, όσον αφορά το </w:t>
      </w:r>
      <w:r>
        <w:rPr>
          <w:w w:val="105"/>
        </w:rPr>
        <w:t>H</w:t>
      </w:r>
      <w:r w:rsidRPr="00D11C54">
        <w:rPr>
          <w:w w:val="105"/>
          <w:lang w:val="el-GR"/>
        </w:rPr>
        <w:t xml:space="preserve">5 (η χρήση αντισταθμιστικών εργαλείων είναι προγνωστική για υψηλά επίπεδα </w:t>
      </w:r>
      <w:r w:rsidRPr="00D11C54">
        <w:rPr>
          <w:lang w:val="el-GR"/>
        </w:rPr>
        <w:t xml:space="preserve"> μεταγνωστικών δεξιοτήτων σε εφήβους με </w:t>
      </w:r>
      <w:r>
        <w:t>SLD</w:t>
      </w:r>
      <w:r w:rsidRPr="00D11C54">
        <w:rPr>
          <w:lang w:val="el-GR"/>
        </w:rPr>
        <w:t xml:space="preserve">), η ανάλυση λογιστικής παλινδρόμησης τόνισε </w:t>
      </w:r>
      <w:r w:rsidRPr="00D11C54">
        <w:rPr>
          <w:w w:val="105"/>
          <w:lang w:val="el-GR"/>
        </w:rPr>
        <w:t>ότι η χρήση τουλάχιστον ενός αντισταθμιστικού εργαλείου αυξάνει τις πιθανότητες εμφάνισης υψηλού επιπέδου μεταγνωστικών δεξιοτήτων (</w:t>
      </w:r>
      <w:r>
        <w:rPr>
          <w:w w:val="105"/>
        </w:rPr>
        <w:t>MSSTOT</w:t>
      </w:r>
      <w:r w:rsidRPr="00D11C54">
        <w:rPr>
          <w:w w:val="105"/>
          <w:lang w:val="el-GR"/>
        </w:rPr>
        <w:t xml:space="preserve"> &gt; διάμεσος = 99) κατά 14.140. Αναλυτικότερα, οι πιθανότητες παρουσίασης υψηλού επιπέδου μεταγνωστικών δεξιοτήτων είναι 14.140 φορές μεγαλύτερες για τους μαθητές που χρησιμοποιούν τουλάχιστον ένα αντισταθμιστικό εργαλείο σε αντίθεση με εκείνους που δεν χρησιμοποιούν καθόλου αντισταθμιστικό εργαλείο (</w:t>
      </w:r>
      <w:r>
        <w:rPr>
          <w:w w:val="105"/>
        </w:rPr>
        <w:t>OR</w:t>
      </w:r>
      <w:r w:rsidRPr="00D11C54">
        <w:rPr>
          <w:w w:val="105"/>
          <w:lang w:val="el-GR"/>
        </w:rPr>
        <w:t xml:space="preserve"> = 14.140, 95% </w:t>
      </w:r>
      <w:r>
        <w:rPr>
          <w:w w:val="105"/>
        </w:rPr>
        <w:t>CI</w:t>
      </w:r>
      <w:r w:rsidRPr="00D11C54">
        <w:rPr>
          <w:w w:val="105"/>
          <w:lang w:val="el-GR"/>
        </w:rPr>
        <w:t xml:space="preserve"> = [5.15, 38.7], </w:t>
      </w:r>
      <w:r>
        <w:rPr>
          <w:rFonts w:ascii="Palatino Linotype"/>
          <w:i/>
          <w:w w:val="105"/>
        </w:rPr>
        <w:t>p</w:t>
      </w:r>
      <w:r w:rsidRPr="00D11C54">
        <w:rPr>
          <w:rFonts w:ascii="Palatino Linotype"/>
          <w:i/>
          <w:w w:val="105"/>
          <w:lang w:val="el-GR"/>
        </w:rPr>
        <w:t xml:space="preserve"> </w:t>
      </w:r>
      <w:r w:rsidRPr="00D11C54">
        <w:rPr>
          <w:w w:val="105"/>
          <w:lang w:val="el-GR"/>
        </w:rPr>
        <w:t>&lt; 0.001).</w:t>
      </w:r>
    </w:p>
    <w:p w14:paraId="2C96F137" w14:textId="77777777" w:rsidR="00F5166D" w:rsidRDefault="00623797">
      <w:pPr>
        <w:pStyle w:val="1"/>
        <w:numPr>
          <w:ilvl w:val="0"/>
          <w:numId w:val="3"/>
        </w:numPr>
        <w:tabs>
          <w:tab w:val="left" w:pos="2940"/>
        </w:tabs>
        <w:spacing w:before="178"/>
        <w:ind w:left="2939" w:hanging="213"/>
        <w:jc w:val="both"/>
      </w:pPr>
      <w:bookmarkStart w:id="20" w:name="Discussion_"/>
      <w:bookmarkEnd w:id="20"/>
      <w:r>
        <w:t>Συζήτηση</w:t>
      </w:r>
    </w:p>
    <w:p w14:paraId="35B09B9B" w14:textId="77777777" w:rsidR="00F5166D" w:rsidRPr="00D11C54" w:rsidRDefault="00623797">
      <w:pPr>
        <w:pStyle w:val="a3"/>
        <w:spacing w:before="76" w:line="256" w:lineRule="auto"/>
        <w:ind w:left="2719" w:right="139" w:firstLine="433"/>
        <w:jc w:val="both"/>
        <w:rPr>
          <w:lang w:val="el-GR"/>
        </w:rPr>
      </w:pPr>
      <w:r w:rsidRPr="00D11C54">
        <w:rPr>
          <w:w w:val="105"/>
          <w:lang w:val="el-GR"/>
        </w:rPr>
        <w:t xml:space="preserve">Αυτή η μελέτη συνέκρινε ένα δείγμα Ιταλών μαθητών δευτεροβάθμιας εκπαίδευσης και λυκείου </w:t>
      </w:r>
      <w:r w:rsidRPr="00D11C54">
        <w:rPr>
          <w:lang w:val="el-GR"/>
        </w:rPr>
        <w:t xml:space="preserve">με </w:t>
      </w:r>
      <w:r>
        <w:t>SLD</w:t>
      </w:r>
      <w:r w:rsidRPr="00D11C54">
        <w:rPr>
          <w:lang w:val="el-GR"/>
        </w:rPr>
        <w:t xml:space="preserve"> με μια ομάδα ελέγχου χωρίς </w:t>
      </w:r>
      <w:r>
        <w:t>SLD</w:t>
      </w:r>
      <w:r w:rsidRPr="00D11C54">
        <w:rPr>
          <w:lang w:val="el-GR"/>
        </w:rPr>
        <w:t xml:space="preserve">. Ο πρώτος στόχος ήταν να διερευνηθούν οι διαφορές </w:t>
      </w:r>
      <w:r w:rsidRPr="00D11C54">
        <w:rPr>
          <w:w w:val="105"/>
          <w:lang w:val="el-GR"/>
        </w:rPr>
        <w:t xml:space="preserve">στη διαπροσωπική προσαρμογή, την αυτο-αποτελεσματικότητα και τη μεταγνώση μεταξύ των μαθητών με και </w:t>
      </w:r>
      <w:r w:rsidRPr="00D11C54">
        <w:rPr>
          <w:lang w:val="el-GR"/>
        </w:rPr>
        <w:t xml:space="preserve">χωρίς </w:t>
      </w:r>
      <w:r>
        <w:t>SLD</w:t>
      </w:r>
      <w:r w:rsidRPr="00D11C54">
        <w:rPr>
          <w:lang w:val="el-GR"/>
        </w:rPr>
        <w:t xml:space="preserve">. Ως δεύτερος στόχος, διερευνήσαμε τις σχέσεις μεταξύ αυτών των μεταβλητών  και των </w:t>
      </w:r>
      <w:r w:rsidRPr="00D11C54">
        <w:rPr>
          <w:w w:val="105"/>
          <w:lang w:val="el-GR"/>
        </w:rPr>
        <w:t xml:space="preserve">προγνωστικών παραγόντων των επιπέδων αυτο-αποτελεσματικότητας και μεταγνώσης στο γενικό δείγμα και την υποομάδα των μαθητών με </w:t>
      </w:r>
      <w:r>
        <w:rPr>
          <w:w w:val="105"/>
        </w:rPr>
        <w:t>SLD</w:t>
      </w:r>
      <w:r w:rsidRPr="00D11C54">
        <w:rPr>
          <w:w w:val="105"/>
          <w:lang w:val="el-GR"/>
        </w:rPr>
        <w:t>.</w:t>
      </w:r>
    </w:p>
    <w:p w14:paraId="534E4DDE" w14:textId="77777777" w:rsidR="00F5166D" w:rsidRPr="00D11C54" w:rsidRDefault="00F5166D">
      <w:pPr>
        <w:spacing w:line="256" w:lineRule="auto"/>
        <w:jc w:val="both"/>
        <w:rPr>
          <w:lang w:val="el-GR"/>
        </w:rPr>
        <w:sectPr w:rsidR="00F5166D" w:rsidRPr="00D11C54">
          <w:type w:val="continuous"/>
          <w:pgSz w:w="11910" w:h="16840"/>
          <w:pgMar w:top="980" w:right="580" w:bottom="0" w:left="600" w:header="720" w:footer="720" w:gutter="0"/>
          <w:cols w:space="720"/>
        </w:sectPr>
      </w:pPr>
    </w:p>
    <w:p w14:paraId="7E0E1F34" w14:textId="77777777" w:rsidR="00F5166D" w:rsidRPr="00D11C54" w:rsidRDefault="00F5166D">
      <w:pPr>
        <w:pStyle w:val="a3"/>
        <w:rPr>
          <w:lang w:val="el-GR"/>
        </w:rPr>
      </w:pPr>
    </w:p>
    <w:p w14:paraId="7ECFFAC2" w14:textId="77777777" w:rsidR="00F5166D" w:rsidRPr="00D11C54" w:rsidRDefault="00F5166D">
      <w:pPr>
        <w:pStyle w:val="a3"/>
        <w:spacing w:before="6"/>
        <w:rPr>
          <w:sz w:val="21"/>
          <w:lang w:val="el-GR"/>
        </w:rPr>
      </w:pPr>
    </w:p>
    <w:p w14:paraId="0BD3E1D6" w14:textId="77777777" w:rsidR="00F5166D" w:rsidRPr="00D11C54" w:rsidRDefault="00623797">
      <w:pPr>
        <w:pStyle w:val="a3"/>
        <w:spacing w:line="256" w:lineRule="auto"/>
        <w:ind w:left="2719" w:right="103" w:firstLine="433"/>
        <w:jc w:val="both"/>
        <w:rPr>
          <w:lang w:val="el-GR"/>
        </w:rPr>
      </w:pPr>
      <w:r w:rsidRPr="00D11C54">
        <w:rPr>
          <w:lang w:val="el-GR"/>
        </w:rPr>
        <w:t>Τα αποτελέσματα επιβεβαίωσαν την υπόθεσή μας (</w:t>
      </w:r>
      <w:r>
        <w:t>H</w:t>
      </w:r>
      <w:r w:rsidRPr="00D11C54">
        <w:rPr>
          <w:lang w:val="el-GR"/>
        </w:rPr>
        <w:t xml:space="preserve">1) ότι οι μαθητές με </w:t>
      </w:r>
      <w:r>
        <w:t>SLD</w:t>
      </w:r>
      <w:r w:rsidRPr="00D11C54">
        <w:rPr>
          <w:lang w:val="el-GR"/>
        </w:rPr>
        <w:t xml:space="preserve"> ανέφεραν χαμηλότερη </w:t>
      </w:r>
      <w:r w:rsidRPr="00D11C54">
        <w:rPr>
          <w:w w:val="105"/>
          <w:lang w:val="el-GR"/>
        </w:rPr>
        <w:t xml:space="preserve">διαπροσωπική προσαρμογή από τους μαθητές χωρίς </w:t>
      </w:r>
      <w:r>
        <w:rPr>
          <w:w w:val="105"/>
        </w:rPr>
        <w:t>SLD</w:t>
      </w:r>
      <w:r w:rsidRPr="00D11C54">
        <w:rPr>
          <w:w w:val="105"/>
          <w:lang w:val="el-GR"/>
        </w:rPr>
        <w:t xml:space="preserve">. Πιο συγκεκριμένα, σε αυτή τη μελέτη, </w:t>
      </w:r>
      <w:r w:rsidRPr="00D11C54">
        <w:rPr>
          <w:lang w:val="el-GR"/>
        </w:rPr>
        <w:t xml:space="preserve">οι μαθητές με </w:t>
      </w:r>
      <w:r>
        <w:t>SLD</w:t>
      </w:r>
      <w:r w:rsidRPr="00D11C54">
        <w:rPr>
          <w:lang w:val="el-GR"/>
        </w:rPr>
        <w:t xml:space="preserve"> έδειξαν υψηλά επίπεδα μη επιβεβαίωσης, οπότε δυσκολεύτηκαν να διεκδικήσουν τις ανάγκες και τις ιδέες τους χωρίς συγκρούσεις με άλλους. Βρήκαμε επίσης μια σημαντική αλληλεπίδραση </w:t>
      </w:r>
      <w:r w:rsidRPr="00D11C54">
        <w:rPr>
          <w:w w:val="105"/>
          <w:lang w:val="el-GR"/>
        </w:rPr>
        <w:t xml:space="preserve">μεταξύ των επιπτώσεων της διάγνωσης μιας </w:t>
      </w:r>
      <w:r>
        <w:rPr>
          <w:w w:val="105"/>
        </w:rPr>
        <w:t>SLD</w:t>
      </w:r>
      <w:r w:rsidRPr="00D11C54">
        <w:rPr>
          <w:w w:val="105"/>
          <w:lang w:val="el-GR"/>
        </w:rPr>
        <w:t xml:space="preserve"> και του τύπου του σχολείου στη μη επιβεβαίωση. Λαμβάνοντας υπόψη ότι υπάρχουν ελάχιστα βιβλιογραφικά δεδομένα σχετικά με τη σχέση μεταξύ διαπροσωπικής προσαρμογής και ΕΜΔ, τα δεδομένα μας παρέχουν προκαταρκτικά στοιχεία για να επιβεβαιώσουν ότι οι έφηβοι με ΣΜΔ παρουσίασαν πιο σημαντικά ελλείμματα κοινωνικών και διαπροσωπικών δεξιοτήτων. Ειδικότερα</w:t>
      </w:r>
      <w:r w:rsidRPr="00D11C54">
        <w:rPr>
          <w:lang w:val="el-GR"/>
        </w:rPr>
        <w:t xml:space="preserve">, η αυτοπεποίθηση φαίνεται να είναι η πιο μειωμένη διαπροσωπική δεξιότητα σε εφήβους με </w:t>
      </w:r>
      <w:r>
        <w:t>SLD</w:t>
      </w:r>
      <w:r w:rsidRPr="00D11C54">
        <w:rPr>
          <w:lang w:val="el-GR"/>
        </w:rPr>
        <w:t xml:space="preserve">, όπως έχει ήδη επισημανθεί στη μελέτη των </w:t>
      </w:r>
      <w:r>
        <w:t>Mirzakhany</w:t>
      </w:r>
      <w:r w:rsidRPr="00D11C54">
        <w:rPr>
          <w:lang w:val="el-GR"/>
        </w:rPr>
        <w:t xml:space="preserve"> </w:t>
      </w:r>
      <w:r>
        <w:t>et</w:t>
      </w:r>
      <w:r w:rsidRPr="00D11C54">
        <w:rPr>
          <w:lang w:val="el-GR"/>
        </w:rPr>
        <w:t xml:space="preserve"> </w:t>
      </w:r>
      <w:r>
        <w:t>al</w:t>
      </w:r>
      <w:r w:rsidRPr="00D11C54">
        <w:rPr>
          <w:lang w:val="el-GR"/>
        </w:rPr>
        <w:t>. [</w:t>
      </w:r>
      <w:hyperlink w:anchor="_bookmark38" w:history="1">
        <w:r w:rsidRPr="00D11C54">
          <w:rPr>
            <w:color w:val="0774B7"/>
            <w:lang w:val="el-GR"/>
          </w:rPr>
          <w:t>33</w:t>
        </w:r>
      </w:hyperlink>
      <w:r w:rsidRPr="00D11C54">
        <w:rPr>
          <w:lang w:val="el-GR"/>
        </w:rPr>
        <w:t xml:space="preserve">]. Αυτό το εύρημα επιβεβαιώνεται και </w:t>
      </w:r>
      <w:r w:rsidRPr="00D11C54">
        <w:rPr>
          <w:w w:val="105"/>
          <w:lang w:val="el-GR"/>
        </w:rPr>
        <w:t>από άλλες μελέτες [</w:t>
      </w:r>
      <w:hyperlink w:anchor="_bookmark39" w:history="1">
        <w:r w:rsidRPr="00D11C54">
          <w:rPr>
            <w:color w:val="0774B7"/>
            <w:w w:val="105"/>
            <w:lang w:val="el-GR"/>
          </w:rPr>
          <w:t>34,35</w:t>
        </w:r>
      </w:hyperlink>
      <w:hyperlink w:anchor="_bookmark40" w:history="1"/>
      <w:r w:rsidRPr="00D11C54">
        <w:rPr>
          <w:w w:val="105"/>
          <w:lang w:val="el-GR"/>
        </w:rPr>
        <w:t xml:space="preserve">], που δείχνουν ότι ένα χαμηλό επίπεδο αυτοπεποίθησης σε μαθητές με </w:t>
      </w:r>
      <w:r>
        <w:rPr>
          <w:w w:val="105"/>
        </w:rPr>
        <w:t>SLD</w:t>
      </w:r>
      <w:r w:rsidRPr="00D11C54">
        <w:rPr>
          <w:w w:val="105"/>
          <w:lang w:val="el-GR"/>
        </w:rPr>
        <w:t xml:space="preserve"> είναι ένας σημαντικός δείκτης προβλημάτων με τους συνομηλίκους. Από αυτή την άποψη, η εκπαίδευση διεκδικητικότητας </w:t>
      </w:r>
      <w:r w:rsidRPr="00D11C54">
        <w:rPr>
          <w:lang w:val="el-GR"/>
        </w:rPr>
        <w:t xml:space="preserve"> για μαθητές με </w:t>
      </w:r>
      <w:r>
        <w:t>SLD</w:t>
      </w:r>
      <w:r w:rsidRPr="00D11C54">
        <w:rPr>
          <w:lang w:val="el-GR"/>
        </w:rPr>
        <w:t xml:space="preserve"> βελτιώνει αποτελεσματικά τις κοινωνικές και διαπροσωπικές δεξιότητες και συνιστάται </w:t>
      </w:r>
      <w:r w:rsidRPr="00D11C54">
        <w:rPr>
          <w:w w:val="105"/>
          <w:lang w:val="el-GR"/>
        </w:rPr>
        <w:t>για την πρόληψη δυσπροσαρμοστικής συμπεριφοράς και δυσκολιών στις σχέσεις [</w:t>
      </w:r>
      <w:hyperlink w:anchor="_bookmark41" w:history="1">
        <w:r w:rsidRPr="00D11C54">
          <w:rPr>
            <w:color w:val="0774B7"/>
            <w:w w:val="105"/>
            <w:lang w:val="el-GR"/>
          </w:rPr>
          <w:t>36</w:t>
        </w:r>
      </w:hyperlink>
      <w:r w:rsidRPr="00D11C54">
        <w:rPr>
          <w:w w:val="105"/>
          <w:lang w:val="el-GR"/>
        </w:rPr>
        <w:t>].</w:t>
      </w:r>
    </w:p>
    <w:p w14:paraId="5A8B7DDF" w14:textId="77777777" w:rsidR="00F5166D" w:rsidRPr="00D11C54" w:rsidRDefault="00623797">
      <w:pPr>
        <w:pStyle w:val="a3"/>
        <w:spacing w:before="3" w:line="256" w:lineRule="auto"/>
        <w:ind w:left="2727" w:right="104" w:firstLine="425"/>
        <w:jc w:val="both"/>
        <w:rPr>
          <w:lang w:val="el-GR"/>
        </w:rPr>
      </w:pPr>
      <w:r w:rsidRPr="00D11C54">
        <w:rPr>
          <w:w w:val="105"/>
          <w:lang w:val="el-GR"/>
        </w:rPr>
        <w:t xml:space="preserve">Τα ευρήματά μας είναι συνεπή με προηγούμενα αποτελέσματα που δείχνουν ότι οι μαθητές με </w:t>
      </w:r>
      <w:r>
        <w:rPr>
          <w:w w:val="105"/>
        </w:rPr>
        <w:t>SLD</w:t>
      </w:r>
      <w:r w:rsidRPr="00D11C54">
        <w:rPr>
          <w:w w:val="105"/>
          <w:lang w:val="el-GR"/>
        </w:rPr>
        <w:t xml:space="preserve"> είναι πιο παρορμητικοί και έχουν περισσότερα προβλήματα χειρισμού κοινωνικών καταστάσεων και σχέσεων με άλλους [</w:t>
      </w:r>
      <w:hyperlink w:anchor="_bookmark37" w:history="1">
        <w:r w:rsidRPr="00D11C54">
          <w:rPr>
            <w:color w:val="0774B7"/>
            <w:w w:val="105"/>
            <w:lang w:val="el-GR"/>
          </w:rPr>
          <w:t>32,34,35</w:t>
        </w:r>
      </w:hyperlink>
      <w:hyperlink w:anchor="_bookmark39" w:history="1"/>
      <w:hyperlink w:anchor="_bookmark40" w:history="1"/>
      <w:r w:rsidRPr="00D11C54">
        <w:rPr>
          <w:w w:val="105"/>
          <w:lang w:val="el-GR"/>
        </w:rPr>
        <w:t xml:space="preserve">]. Επομένως, τα δεδομένα αυτά επιβεβαιώνουν ότι οι μαθησιακές διαταραχές επηρεάζουν επίσης σημαντικά τις κοινωνικές και σχεσιακές δεξιότητες των εφήβων που πάσχουν από αυτές, όπως </w:t>
      </w:r>
      <w:r w:rsidRPr="00D11C54">
        <w:rPr>
          <w:lang w:val="el-GR"/>
        </w:rPr>
        <w:t>επισημαίνεται στη σχετική βιβλιογραφία [12,30,31</w:t>
      </w:r>
      <w:hyperlink w:anchor="_bookmark18" w:history="1"/>
      <w:hyperlink w:anchor="_bookmark35" w:history="1"/>
      <w:hyperlink w:anchor="_bookmark36" w:history="1"/>
      <w:r w:rsidRPr="00D11C54">
        <w:rPr>
          <w:lang w:val="el-GR"/>
        </w:rPr>
        <w:t xml:space="preserve">]. Ως εκ τούτου, η μελλοντική έρευνα θα πρέπει να </w:t>
      </w:r>
      <w:r w:rsidRPr="00D11C54">
        <w:rPr>
          <w:w w:val="105"/>
          <w:lang w:val="el-GR"/>
        </w:rPr>
        <w:t xml:space="preserve">αποσαφηνίσει καλύτερα πώς η διάγνωση της </w:t>
      </w:r>
      <w:r>
        <w:rPr>
          <w:w w:val="105"/>
        </w:rPr>
        <w:t>SLD</w:t>
      </w:r>
      <w:r w:rsidRPr="00D11C54">
        <w:rPr>
          <w:w w:val="105"/>
          <w:lang w:val="el-GR"/>
        </w:rPr>
        <w:t xml:space="preserve"> επηρεάζει τις λεγόμενες «μαλακές δεξιότητες» και τις διαπροσωπικές δεξιότητες στην εφηβεία.</w:t>
      </w:r>
    </w:p>
    <w:p w14:paraId="3468B784" w14:textId="77777777" w:rsidR="00F5166D" w:rsidRPr="00D11C54" w:rsidRDefault="00623797">
      <w:pPr>
        <w:pStyle w:val="a3"/>
        <w:spacing w:before="1" w:line="256" w:lineRule="auto"/>
        <w:ind w:left="2719" w:right="137" w:firstLine="433"/>
        <w:jc w:val="both"/>
        <w:rPr>
          <w:lang w:val="el-GR"/>
        </w:rPr>
      </w:pPr>
      <w:r w:rsidRPr="00D11C54">
        <w:rPr>
          <w:w w:val="105"/>
          <w:lang w:val="el-GR"/>
        </w:rPr>
        <w:t xml:space="preserve">Τα αποτελέσματα επιβεβαιώνουν επίσης τη δεύτερη υπόθεση αυτής της μελέτης. Πράγματι, οι μαθητές με </w:t>
      </w:r>
      <w:r>
        <w:rPr>
          <w:w w:val="105"/>
        </w:rPr>
        <w:t>SLD</w:t>
      </w:r>
      <w:r w:rsidRPr="00D11C54">
        <w:rPr>
          <w:w w:val="105"/>
          <w:lang w:val="el-GR"/>
        </w:rPr>
        <w:t xml:space="preserve"> στο δείγμα ανέφεραν σημαντικά χαμηλότερα επίπεδα αυτο-αποτελεσματικότητας από τους συνομηλίκους τους </w:t>
      </w:r>
      <w:r w:rsidRPr="00D11C54">
        <w:rPr>
          <w:lang w:val="el-GR"/>
        </w:rPr>
        <w:t xml:space="preserve">χωρίς </w:t>
      </w:r>
      <w:r>
        <w:t>SLD</w:t>
      </w:r>
      <w:r w:rsidRPr="00D11C54">
        <w:rPr>
          <w:lang w:val="el-GR"/>
        </w:rPr>
        <w:t xml:space="preserve">. Αυτά τα ευρήματα υποστηρίζουν την υπόθεσή μας που βασίζεται σε προηγούμενες μελέτες ότι η παρουσία μιας μαθησιακής διαταραχής σχετίζεται με μείωση της ευαισθητοποίησης  και της εμπιστοσύνης του εφήβου </w:t>
      </w:r>
      <w:r w:rsidRPr="00D11C54">
        <w:rPr>
          <w:w w:val="105"/>
          <w:lang w:val="el-GR"/>
        </w:rPr>
        <w:t>στην ικανότητά του να ολοκληρώσει μια εργασία και να επιτύχει έναν στόχο [</w:t>
      </w:r>
      <w:hyperlink w:anchor="_bookmark17" w:history="1">
        <w:r w:rsidRPr="00D11C54">
          <w:rPr>
            <w:color w:val="0774B7"/>
            <w:w w:val="105"/>
            <w:lang w:val="el-GR"/>
          </w:rPr>
          <w:t>11,47</w:t>
        </w:r>
      </w:hyperlink>
      <w:hyperlink w:anchor="_bookmark48" w:history="1"/>
      <w:r w:rsidRPr="00D11C54">
        <w:rPr>
          <w:w w:val="105"/>
          <w:lang w:val="el-GR"/>
        </w:rPr>
        <w:t>–</w:t>
      </w:r>
      <w:hyperlink w:anchor="_bookmark50" w:history="1">
        <w:r w:rsidRPr="00D11C54">
          <w:rPr>
            <w:color w:val="0774B7"/>
            <w:w w:val="105"/>
            <w:lang w:val="el-GR"/>
          </w:rPr>
          <w:t>50</w:t>
        </w:r>
      </w:hyperlink>
      <w:r w:rsidRPr="00D11C54">
        <w:rPr>
          <w:w w:val="105"/>
          <w:lang w:val="el-GR"/>
        </w:rPr>
        <w:t>].</w:t>
      </w:r>
    </w:p>
    <w:p w14:paraId="3055252F" w14:textId="77777777" w:rsidR="00F5166D" w:rsidRPr="00D11C54" w:rsidRDefault="00623797">
      <w:pPr>
        <w:pStyle w:val="a3"/>
        <w:spacing w:before="1" w:line="256" w:lineRule="auto"/>
        <w:ind w:left="2719" w:right="104" w:firstLine="433"/>
        <w:jc w:val="both"/>
        <w:rPr>
          <w:lang w:val="el-GR"/>
        </w:rPr>
      </w:pPr>
      <w:r w:rsidRPr="00D11C54">
        <w:rPr>
          <w:lang w:val="el-GR"/>
        </w:rPr>
        <w:t>Σε αντίθεση με την υπόθεσή μας (</w:t>
      </w:r>
      <w:r>
        <w:t>H</w:t>
      </w:r>
      <w:r w:rsidRPr="00D11C54">
        <w:rPr>
          <w:lang w:val="el-GR"/>
        </w:rPr>
        <w:t xml:space="preserve">3), οι μαθητές με </w:t>
      </w:r>
      <w:r>
        <w:t>SLD</w:t>
      </w:r>
      <w:r w:rsidRPr="00D11C54">
        <w:rPr>
          <w:lang w:val="el-GR"/>
        </w:rPr>
        <w:t xml:space="preserve"> στο δείγμα μας ανέφεραν υψηλότερες </w:t>
      </w:r>
      <w:r w:rsidRPr="00D11C54">
        <w:rPr>
          <w:w w:val="105"/>
          <w:lang w:val="el-GR"/>
        </w:rPr>
        <w:t xml:space="preserve">βαθμολογίες μεταγνώσης από τους συνομηλίκους τους χωρίς </w:t>
      </w:r>
      <w:r>
        <w:rPr>
          <w:w w:val="105"/>
        </w:rPr>
        <w:t>SLD</w:t>
      </w:r>
      <w:r w:rsidRPr="00D11C54">
        <w:rPr>
          <w:w w:val="105"/>
          <w:lang w:val="el-GR"/>
        </w:rPr>
        <w:t>. Αυτό το αποτέλεσμα αξίζει σίγουρα να συζητηθεί</w:t>
      </w:r>
      <w:r w:rsidRPr="00D11C54">
        <w:rPr>
          <w:lang w:val="el-GR"/>
        </w:rPr>
        <w:t xml:space="preserve">, καθώς η βιβλιογραφία σχετικά με το θέμα επισημαίνει ότι οι μαθητές με </w:t>
      </w:r>
      <w:r>
        <w:t>SLD</w:t>
      </w:r>
      <w:r w:rsidRPr="00D11C54">
        <w:rPr>
          <w:lang w:val="el-GR"/>
        </w:rPr>
        <w:t xml:space="preserve"> έχουν γενικά φτωχότερες μεταγνωστικές δεξιότητες, οδηγώντας σε δυσκολίες στη μεταφορά των στρατηγικών που έμαθαν από </w:t>
      </w:r>
      <w:r w:rsidRPr="00D11C54">
        <w:rPr>
          <w:w w:val="105"/>
          <w:lang w:val="el-GR"/>
        </w:rPr>
        <w:t>προηγούμενα πλαίσια σε νέα πλαίσια [</w:t>
      </w:r>
      <w:hyperlink w:anchor="_bookmark23" w:history="1">
        <w:r w:rsidRPr="00D11C54">
          <w:rPr>
            <w:color w:val="0774B7"/>
            <w:w w:val="105"/>
            <w:lang w:val="el-GR"/>
          </w:rPr>
          <w:t>17</w:t>
        </w:r>
      </w:hyperlink>
      <w:r w:rsidRPr="00D11C54">
        <w:rPr>
          <w:w w:val="105"/>
          <w:lang w:val="el-GR"/>
        </w:rPr>
        <w:t xml:space="preserve">]. Για να επιβεβαιώσουν αυτό το αποτέλεσμα, οι </w:t>
      </w:r>
      <w:r>
        <w:rPr>
          <w:w w:val="105"/>
        </w:rPr>
        <w:t>Trainin</w:t>
      </w:r>
      <w:r w:rsidRPr="00D11C54">
        <w:rPr>
          <w:w w:val="105"/>
          <w:lang w:val="el-GR"/>
        </w:rPr>
        <w:t xml:space="preserve"> και </w:t>
      </w:r>
      <w:r>
        <w:rPr>
          <w:w w:val="105"/>
        </w:rPr>
        <w:t>Swanson</w:t>
      </w:r>
      <w:r w:rsidRPr="00D11C54">
        <w:rPr>
          <w:w w:val="105"/>
          <w:lang w:val="el-GR"/>
        </w:rPr>
        <w:t xml:space="preserve"> [</w:t>
      </w:r>
      <w:hyperlink w:anchor="_bookmark60" w:history="1">
        <w:r w:rsidRPr="00D11C54">
          <w:rPr>
            <w:color w:val="0774B7"/>
            <w:w w:val="105"/>
            <w:lang w:val="el-GR"/>
          </w:rPr>
          <w:t>65</w:t>
        </w:r>
      </w:hyperlink>
      <w:r w:rsidRPr="00D11C54">
        <w:rPr>
          <w:w w:val="105"/>
          <w:lang w:val="el-GR"/>
        </w:rPr>
        <w:t xml:space="preserve">] </w:t>
      </w:r>
      <w:r w:rsidRPr="00D11C54">
        <w:rPr>
          <w:lang w:val="el-GR"/>
        </w:rPr>
        <w:t xml:space="preserve">ανέφεραν ότι οι μαθητές με </w:t>
      </w:r>
      <w:r>
        <w:t>SLD</w:t>
      </w:r>
      <w:r w:rsidRPr="00D11C54">
        <w:rPr>
          <w:lang w:val="el-GR"/>
        </w:rPr>
        <w:t xml:space="preserve"> επωφελούνται περισσότερο από υψηλές μεταγνωστικές στρατηγικές από  τους </w:t>
      </w:r>
      <w:r w:rsidRPr="00D11C54">
        <w:rPr>
          <w:w w:val="105"/>
          <w:lang w:val="el-GR"/>
        </w:rPr>
        <w:t xml:space="preserve">συνομηλίκους τους χωρίς </w:t>
      </w:r>
      <w:r>
        <w:rPr>
          <w:w w:val="105"/>
        </w:rPr>
        <w:t>SLD</w:t>
      </w:r>
      <w:r w:rsidRPr="00D11C54">
        <w:rPr>
          <w:w w:val="105"/>
          <w:lang w:val="el-GR"/>
        </w:rPr>
        <w:t xml:space="preserve">. Στην πραγματικότητα, σε αυτή την περίπτωση, οι μεταγνωστικές στρατηγικές συνδέονται με πιο αποτελεσματικούς </w:t>
      </w:r>
      <w:r w:rsidRPr="00D11C54">
        <w:rPr>
          <w:lang w:val="el-GR"/>
        </w:rPr>
        <w:t xml:space="preserve">τρόπους βελτίωσης της απόδοσης σε ακαδημαϊκά πλαίσια. Ωστόσο, διαπιστώθηκε επίσης ότι οι μαθητές που χρησιμοποιούν αντισταθμιστικά εργαλεία ανέφεραν υψηλότερα επίπεδα μεταγνώσης από τους μαθητές </w:t>
      </w:r>
      <w:r w:rsidRPr="00D11C54">
        <w:rPr>
          <w:w w:val="105"/>
          <w:lang w:val="el-GR"/>
        </w:rPr>
        <w:t>που δεν χρησιμοποίησαν αυτά τα αντισταθμιστικά εργαλεία (</w:t>
      </w:r>
      <w:r>
        <w:rPr>
          <w:w w:val="105"/>
        </w:rPr>
        <w:t>H</w:t>
      </w:r>
      <w:r w:rsidRPr="00D11C54">
        <w:rPr>
          <w:w w:val="105"/>
          <w:lang w:val="el-GR"/>
        </w:rPr>
        <w:t xml:space="preserve">4). Επιπλέον, η ανάλυση λογιστικής παλινδρόμησης έδειξε ότι οι πιθανότητες παρουσίασης υψηλού επιπέδου μεταγνωστικών δεξιοτήτων είναι 14.140 φορές μεγαλύτερες για τους μαθητές που χρησιμοποιούν τουλάχιστον ένα αντισταθμιστικό εργαλείο από εκείνους που δεν χρησιμοποιούν ένα συμπληρωματικό εργαλείο </w:t>
      </w:r>
      <w:r w:rsidRPr="00D11C54">
        <w:rPr>
          <w:lang w:val="el-GR"/>
        </w:rPr>
        <w:t>(</w:t>
      </w:r>
      <w:r>
        <w:t>H</w:t>
      </w:r>
      <w:r w:rsidRPr="00D11C54">
        <w:rPr>
          <w:lang w:val="el-GR"/>
        </w:rPr>
        <w:t xml:space="preserve">5). Αυτά τα ευρήματα επιβεβαιώνουν τη σημασία της χρήσης κατάλληλων μέτρων αποζημίωσης </w:t>
      </w:r>
      <w:r w:rsidRPr="00D11C54">
        <w:rPr>
          <w:w w:val="105"/>
          <w:lang w:val="el-GR"/>
        </w:rPr>
        <w:t>για τη βελτίωση των στρατηγικών αυτορρύθμισης των μαθητών με ΣΔ.</w:t>
      </w:r>
    </w:p>
    <w:p w14:paraId="4D805AEF" w14:textId="77777777" w:rsidR="00F5166D" w:rsidRPr="00D11C54" w:rsidRDefault="00623797">
      <w:pPr>
        <w:pStyle w:val="a3"/>
        <w:spacing w:before="2" w:line="256" w:lineRule="auto"/>
        <w:ind w:left="2721" w:right="104" w:firstLine="431"/>
        <w:jc w:val="both"/>
        <w:rPr>
          <w:lang w:val="el-GR"/>
        </w:rPr>
      </w:pPr>
      <w:r w:rsidRPr="00D11C54">
        <w:rPr>
          <w:w w:val="105"/>
          <w:lang w:val="el-GR"/>
        </w:rPr>
        <w:t xml:space="preserve">Επιπλέον, η χρήση αντισταθμιστικών εργαλείων συνδέθηκε επίσης με καλύτερες διαπροσωπικές δεξιότητες και υψηλότερα επίπεδα αυτο-αποτελεσματικότητας σε μαθητές με </w:t>
      </w:r>
      <w:r>
        <w:rPr>
          <w:w w:val="105"/>
        </w:rPr>
        <w:t>SLD</w:t>
      </w:r>
      <w:r w:rsidRPr="00D11C54">
        <w:rPr>
          <w:w w:val="105"/>
          <w:lang w:val="el-GR"/>
        </w:rPr>
        <w:t xml:space="preserve"> (</w:t>
      </w:r>
      <w:r>
        <w:rPr>
          <w:w w:val="105"/>
        </w:rPr>
        <w:t>H</w:t>
      </w:r>
      <w:r w:rsidRPr="00D11C54">
        <w:rPr>
          <w:w w:val="105"/>
          <w:lang w:val="el-GR"/>
        </w:rPr>
        <w:t xml:space="preserve">4), επιβεβαιώνοντας τη θεμελιώδη σημασία αυτών των μέσων για την προώθηση και τη βελτίωση όχι μόνο της μάθησης αλλά και των προσωπικών και κοινωνικών δεξιοτήτων των μαθητών με </w:t>
      </w:r>
      <w:r>
        <w:rPr>
          <w:w w:val="105"/>
        </w:rPr>
        <w:t>SLD</w:t>
      </w:r>
      <w:r w:rsidRPr="00D11C54">
        <w:rPr>
          <w:w w:val="105"/>
          <w:lang w:val="el-GR"/>
        </w:rPr>
        <w:t>.</w:t>
      </w:r>
    </w:p>
    <w:p w14:paraId="502D5B04" w14:textId="77777777" w:rsidR="00F5166D" w:rsidRPr="00D11C54" w:rsidRDefault="00623797">
      <w:pPr>
        <w:pStyle w:val="a3"/>
        <w:spacing w:before="1" w:line="256" w:lineRule="auto"/>
        <w:ind w:left="2721" w:right="99" w:firstLine="431"/>
        <w:jc w:val="both"/>
        <w:rPr>
          <w:lang w:val="el-GR"/>
        </w:rPr>
      </w:pPr>
      <w:r w:rsidRPr="00D11C54">
        <w:rPr>
          <w:w w:val="105"/>
          <w:lang w:val="el-GR"/>
        </w:rPr>
        <w:t xml:space="preserve">Αυτή η μελέτη επιβεβαιώνει ότι η διάγνωση της </w:t>
      </w:r>
      <w:r>
        <w:rPr>
          <w:w w:val="105"/>
        </w:rPr>
        <w:t>SLD</w:t>
      </w:r>
      <w:r w:rsidRPr="00D11C54">
        <w:rPr>
          <w:w w:val="105"/>
          <w:lang w:val="el-GR"/>
        </w:rPr>
        <w:t xml:space="preserve"> αποτελεί παράγοντα κινδύνου για χειρότερη προσωπική και </w:t>
      </w:r>
      <w:r w:rsidRPr="00D11C54">
        <w:rPr>
          <w:lang w:val="el-GR"/>
        </w:rPr>
        <w:t xml:space="preserve">κοινωνική λειτουργικότητα. Ωστόσο, η χρήση κατάλληλων στρατηγικών αποζημίωσης και ειδικής κατάρτισης </w:t>
      </w:r>
      <w:r w:rsidRPr="00D11C54">
        <w:rPr>
          <w:w w:val="105"/>
          <w:lang w:val="el-GR"/>
        </w:rPr>
        <w:t xml:space="preserve">για την ανάπτυξη και την ενίσχυση δεξιοτήτων, όπως οι διαπροσωπικές δεξιότητες ή η αυτοαποτελεσματικότητα, μπορεί να αποτελέσει </w:t>
      </w:r>
      <w:r w:rsidRPr="00D11C54">
        <w:rPr>
          <w:lang w:val="el-GR"/>
        </w:rPr>
        <w:t xml:space="preserve">σημαντικό προστατευτικό παράγοντα έναντι των αρνητικών επιπτώσεων των μαθησιακών δυσκολιών  στην </w:t>
      </w:r>
      <w:r w:rsidRPr="00D11C54">
        <w:rPr>
          <w:w w:val="105"/>
          <w:lang w:val="el-GR"/>
        </w:rPr>
        <w:t>προσωπική και κοινωνική λειτουργικότητα των μαθητών και στην ποιότητα της σχολικής τους εμπειρίας.</w:t>
      </w:r>
    </w:p>
    <w:p w14:paraId="77097A46" w14:textId="77777777" w:rsidR="00F5166D" w:rsidRPr="00D11C54" w:rsidRDefault="00623797">
      <w:pPr>
        <w:pStyle w:val="a3"/>
        <w:spacing w:before="1" w:line="256" w:lineRule="auto"/>
        <w:ind w:left="2727" w:right="113" w:firstLine="425"/>
        <w:jc w:val="both"/>
        <w:rPr>
          <w:lang w:val="el-GR"/>
        </w:rPr>
      </w:pPr>
      <w:r w:rsidRPr="00D11C54">
        <w:rPr>
          <w:lang w:val="el-GR"/>
        </w:rPr>
        <w:t xml:space="preserve">Πρέπει να ληφθούν υπόψη ορισμένοι περιορισμοί αυτής της μελέτης. Πρώτον, ο σχεδιασμός της εγκάρσιας τομής της μελέτης μας δεν μπορεί να αποδείξει αιτιώδη συνάφεια, επειδή όλες οι μεταβλητές δεν μπορούν να προσδιοριστούν. Δεύτερον, χρησιμοποιήθηκαν ερωτηματολόγια αυτοαναφοράς σε αυτή τη μελέτη. Επομένως, η αξιοπιστία των απαντήσεων και η επακόλουθη μεροληψία αυτοαναφοράς δεν μπορούν να αποδειχθούν. Τέλος, άλλες σημαντικές μεταβλητές που σχετίζονται σημαντικά με την ψυχολογική ευημερία των μαθητών με </w:t>
      </w:r>
      <w:r>
        <w:t>SLD</w:t>
      </w:r>
      <w:r w:rsidRPr="00D11C54">
        <w:rPr>
          <w:lang w:val="el-GR"/>
        </w:rPr>
        <w:t xml:space="preserve"> ήταν</w:t>
      </w:r>
    </w:p>
    <w:p w14:paraId="41A4B6C2" w14:textId="77777777" w:rsidR="00F5166D" w:rsidRPr="00D11C54" w:rsidRDefault="00F5166D">
      <w:pPr>
        <w:spacing w:line="256" w:lineRule="auto"/>
        <w:jc w:val="both"/>
        <w:rPr>
          <w:lang w:val="el-GR"/>
        </w:rPr>
        <w:sectPr w:rsidR="00F5166D" w:rsidRPr="00D11C54">
          <w:pgSz w:w="11910" w:h="16840"/>
          <w:pgMar w:top="1400" w:right="580" w:bottom="280" w:left="600" w:header="1109" w:footer="0" w:gutter="0"/>
          <w:cols w:space="720"/>
        </w:sectPr>
      </w:pPr>
    </w:p>
    <w:p w14:paraId="6703F688" w14:textId="77777777" w:rsidR="00F5166D" w:rsidRPr="00D11C54" w:rsidRDefault="00F5166D">
      <w:pPr>
        <w:pStyle w:val="a3"/>
        <w:rPr>
          <w:lang w:val="el-GR"/>
        </w:rPr>
      </w:pPr>
    </w:p>
    <w:p w14:paraId="1E15B93E" w14:textId="77777777" w:rsidR="00F5166D" w:rsidRPr="00D11C54" w:rsidRDefault="00F5166D">
      <w:pPr>
        <w:pStyle w:val="a3"/>
        <w:spacing w:before="6"/>
        <w:rPr>
          <w:sz w:val="21"/>
          <w:lang w:val="el-GR"/>
        </w:rPr>
      </w:pPr>
    </w:p>
    <w:p w14:paraId="42704056" w14:textId="77777777" w:rsidR="00F5166D" w:rsidRPr="00D11C54" w:rsidRDefault="00623797">
      <w:pPr>
        <w:pStyle w:val="a3"/>
        <w:spacing w:line="256" w:lineRule="auto"/>
        <w:ind w:left="2727" w:right="138"/>
        <w:jc w:val="both"/>
        <w:rPr>
          <w:lang w:val="el-GR"/>
        </w:rPr>
      </w:pPr>
      <w:r w:rsidRPr="00D11C54">
        <w:rPr>
          <w:w w:val="105"/>
          <w:lang w:val="el-GR"/>
        </w:rPr>
        <w:t>Δεν περιλαμβάνονται σε αυτή τη μελέτη, όπως η αυτο-ιδέα και ο τόπος ελέγχου, η ανθεκτικότητα, η ελπίδα και η επένδυση προσπάθειας και η αυτοεκτίμηση.</w:t>
      </w:r>
    </w:p>
    <w:p w14:paraId="676101A6" w14:textId="77777777" w:rsidR="00F5166D" w:rsidRDefault="00623797">
      <w:pPr>
        <w:pStyle w:val="1"/>
        <w:numPr>
          <w:ilvl w:val="0"/>
          <w:numId w:val="3"/>
        </w:numPr>
        <w:tabs>
          <w:tab w:val="left" w:pos="2940"/>
        </w:tabs>
        <w:spacing w:before="198"/>
        <w:ind w:left="2939" w:hanging="213"/>
        <w:jc w:val="both"/>
      </w:pPr>
      <w:bookmarkStart w:id="21" w:name="Conclusions_"/>
      <w:bookmarkStart w:id="22" w:name="References"/>
      <w:bookmarkEnd w:id="21"/>
      <w:bookmarkEnd w:id="22"/>
      <w:r>
        <w:t>Συμπεράσματα</w:t>
      </w:r>
    </w:p>
    <w:p w14:paraId="0F89386A" w14:textId="77777777" w:rsidR="00F5166D" w:rsidRPr="00D11C54" w:rsidRDefault="00623797">
      <w:pPr>
        <w:pStyle w:val="a3"/>
        <w:spacing w:before="76" w:line="256" w:lineRule="auto"/>
        <w:ind w:left="2719" w:right="103" w:firstLine="433"/>
        <w:jc w:val="right"/>
        <w:rPr>
          <w:lang w:val="el-GR"/>
        </w:rPr>
      </w:pPr>
      <w:r w:rsidRPr="00D11C54">
        <w:rPr>
          <w:lang w:val="el-GR"/>
        </w:rPr>
        <w:t xml:space="preserve">Συμπερασματικά, τα αποτελέσματά μας δείχνουν ότι η παρουσία μιας διάγνωσης μιας </w:t>
      </w:r>
      <w:r>
        <w:t>SLD</w:t>
      </w:r>
      <w:r w:rsidRPr="00D11C54">
        <w:rPr>
          <w:lang w:val="el-GR"/>
        </w:rPr>
        <w:t xml:space="preserve"> συνδέεται σημαντικά με αρνητική αυτο-αποτελεσματικότητα, μαζί με μειωμένες διαπροσωπικές δεξιότητες. Ωστόσο, απαιτούνται περαιτέρω μελέτες σχετικά με την ψυχολογική ευημερία των εφήβων με ΣΜΔ και ιδιαίτερα σχετικά με τον προστατευτικό ρόλο των προσωπικών, κοινωνικών και περιβαλλοντικών χαρακτηριστικών. Επί του παρόντος, στην Ιταλία, όσοι λαμβάνουν διάγνωση </w:t>
      </w:r>
      <w:r>
        <w:t>SLD</w:t>
      </w:r>
      <w:r w:rsidRPr="00D11C54">
        <w:rPr>
          <w:lang w:val="el-GR"/>
        </w:rPr>
        <w:t xml:space="preserve"> προστατεύονται από το νόμο 170 (2010), ο οποίος στοχεύει στην προστασία των μαθητών με </w:t>
      </w:r>
      <w:r>
        <w:t>SLD</w:t>
      </w:r>
      <w:r w:rsidRPr="00D11C54">
        <w:rPr>
          <w:lang w:val="el-GR"/>
        </w:rPr>
        <w:t xml:space="preserve"> και του δικαιώματός τους στην εκπαίδευση και στην προώθηση της επιτυχίας τους στο σχολείο. Με αυτή την έννοια, η μελέτη όπως και άλλοι μαθητές σημαίνει ότι οι μαθητές με </w:t>
      </w:r>
      <w:r>
        <w:t>SLD</w:t>
      </w:r>
      <w:r w:rsidRPr="00D11C54">
        <w:rPr>
          <w:lang w:val="el-GR"/>
        </w:rPr>
        <w:t xml:space="preserve"> έχουν το δικαίωμα πρόσβασης σε «εκπαιδευτικά μέτρα υποστήριξης και αντισταθμιστικά εργαλεία» που τους επιτρέπουν να εκφράσουν τις δυνατότητές τους. Συγκεκριμένα, τέσσερα θεμελιώδη σημεία θα επιτρέψουν την υλοποίηση μιας αποτελεσματικής διδακτικής παρέμβασης προσανατολισμένης στην ακαδημαϊκή επιτυχία των μαθητών με ΣΔ: (1) ο έγκαιρος εντοπισμός και η ενίσχυση μέσω μιας διαδικασίας ελέγχου με ατομικά τεστ στις πληγείσες περιοχές (ανάγνωση, γραφή, υπολογισμός), η οποία επιτρέπει την τοποθέτηση των μαθητών σε ένα εύρος επιδόσεων που μπορεί να σηματοδοτήσει την ανάγκη έναρξης της βελτίωσης. Αποτελείται από δραστηριότητες για την τόνωση των δεξιοτήτων στις οποίες ο μαθητής έχει δυσκολίες. (2) την εξατομικευμένη και εξατομικευμένη διδασκαλία που αναφέρεται σε ατομικές δραστηριότητες αποκατάστασης, στην τάξη ή σε εξειδικευμένο πρόγραμμα μετά το σχολείο, που βοηθούν τον μαθητή να ενισχύσει τις δεξιότητές του και να αποκτήσει ή να βελτιώσει τις δεξιότητές του. (3) το εξατομικευμένο σχέδιο διδασκαλίας που αποτελείται από ένα εκπαιδευτικό πρόγραμμα στο οποίο αναφέρονται τα βήματα και τα εργαλεία που απαιτούνται για την προώθηση της μάθησης και της ακαδημαϊκής επιτυχίας των φοιτητών με την </w:t>
      </w:r>
      <w:r>
        <w:t>DSA</w:t>
      </w:r>
      <w:r w:rsidRPr="00D11C54">
        <w:rPr>
          <w:lang w:val="el-GR"/>
        </w:rPr>
        <w:t>. (4) τα αντισταθμιστικά μέσα και τα μέτρα ανακούφισης, τα οποία αντικαθιστούν ή διευκολύνουν τις επιδόσεις που απαιτούνται όσον αφορά την ικανότητα ελλείμματος, είτε πρόκειται για γραφή, ανάγνωση ή υπολογισμό (π.χ. σύνθεση ομιλίας, υπολογιστές, ταμπλέτες, επεξεργαστές κειμένου με ορθογραφικό έλεγχο, αριθμομηχανή, χάρτες εννοιών, προφορικές ή ψηφιακές δοκιμασίες αντί για γραπτές δοκιμασίες, ώστε να αποφεύγεται η μεγαλόφωνη ανάγνωση, η μη ανάγκη εκτέλεσης χρονολογικών δοκιμασιών ή περισσότερου χρόνου</w:t>
      </w:r>
    </w:p>
    <w:p w14:paraId="1E45FEB2" w14:textId="77777777" w:rsidR="00F5166D" w:rsidRPr="00D11C54" w:rsidRDefault="00623797">
      <w:pPr>
        <w:pStyle w:val="a3"/>
        <w:spacing w:before="4"/>
        <w:ind w:left="2727"/>
        <w:jc w:val="both"/>
        <w:rPr>
          <w:lang w:val="el-GR"/>
        </w:rPr>
      </w:pPr>
      <w:r w:rsidRPr="00D11C54">
        <w:rPr>
          <w:w w:val="105"/>
          <w:lang w:val="el-GR"/>
        </w:rPr>
        <w:t>διαθέσιμο από τους συνομηλίκους, αποφύγετε τις ερωτήσεις έκπληξης προγραμματίζοντάς τις).</w:t>
      </w:r>
    </w:p>
    <w:p w14:paraId="7E48B160" w14:textId="77777777" w:rsidR="00F5166D" w:rsidRPr="00D11C54" w:rsidRDefault="00623797">
      <w:pPr>
        <w:pStyle w:val="a3"/>
        <w:spacing w:before="17" w:line="256" w:lineRule="auto"/>
        <w:ind w:left="2719" w:right="137" w:firstLine="433"/>
        <w:jc w:val="both"/>
        <w:rPr>
          <w:lang w:val="el-GR"/>
        </w:rPr>
      </w:pPr>
      <w:r w:rsidRPr="00D11C54">
        <w:rPr>
          <w:w w:val="105"/>
          <w:lang w:val="el-GR"/>
        </w:rPr>
        <w:t xml:space="preserve">Αυτή η μελέτη επιβεβαιώνει την αποτελεσματικότητα αυτών των μέτρων στην υποστήριξη των μαθητών με </w:t>
      </w:r>
      <w:r>
        <w:rPr>
          <w:w w:val="105"/>
        </w:rPr>
        <w:t>SLD</w:t>
      </w:r>
      <w:r w:rsidRPr="00D11C54">
        <w:rPr>
          <w:w w:val="105"/>
          <w:lang w:val="el-GR"/>
        </w:rPr>
        <w:t xml:space="preserve">, καθώς και την ανάγκη εφαρμογής ειδικών προγραμμάτων για την ενίσχυση των μαλακών δεξιοτήτων σε μαθητές με </w:t>
      </w:r>
      <w:r>
        <w:rPr>
          <w:w w:val="105"/>
        </w:rPr>
        <w:t>SLD</w:t>
      </w:r>
      <w:r w:rsidRPr="00D11C54">
        <w:rPr>
          <w:w w:val="105"/>
          <w:lang w:val="el-GR"/>
        </w:rPr>
        <w:t xml:space="preserve"> και μια εις βάθος αξιολόγηση της αποτελεσματικότητάς τους στη βελτίωση άλλων δεξιοτήτων που δεν διερευνήθηκαν ρητά σε αυτή τη μελέτη, όπως η αυτοεκτίμηση και η ανθεκτικότητα.</w:t>
      </w:r>
    </w:p>
    <w:p w14:paraId="45C9B15A" w14:textId="77777777" w:rsidR="00F5166D" w:rsidRPr="00D11C54" w:rsidRDefault="00F5166D">
      <w:pPr>
        <w:pStyle w:val="a3"/>
        <w:spacing w:before="7"/>
        <w:rPr>
          <w:lang w:val="el-GR"/>
        </w:rPr>
      </w:pPr>
    </w:p>
    <w:p w14:paraId="65A59EBD" w14:textId="77777777" w:rsidR="00F5166D" w:rsidRPr="00D11C54" w:rsidRDefault="00623797">
      <w:pPr>
        <w:spacing w:before="1"/>
        <w:ind w:left="2720"/>
        <w:jc w:val="both"/>
        <w:rPr>
          <w:sz w:val="18"/>
          <w:lang w:val="el-GR"/>
        </w:rPr>
      </w:pPr>
      <w:r w:rsidRPr="00D11C54">
        <w:rPr>
          <w:b/>
          <w:w w:val="105"/>
          <w:sz w:val="18"/>
          <w:lang w:val="el-GR"/>
        </w:rPr>
        <w:t xml:space="preserve">Συνεισφορές συγγραφέων: </w:t>
      </w:r>
      <w:r>
        <w:rPr>
          <w:w w:val="105"/>
          <w:sz w:val="18"/>
        </w:rPr>
        <w:t>Conceptualization</w:t>
      </w:r>
      <w:r w:rsidRPr="00D11C54">
        <w:rPr>
          <w:w w:val="105"/>
          <w:sz w:val="18"/>
          <w:lang w:val="el-GR"/>
        </w:rPr>
        <w:t xml:space="preserve">, </w:t>
      </w:r>
      <w:r>
        <w:rPr>
          <w:w w:val="105"/>
          <w:sz w:val="18"/>
        </w:rPr>
        <w:t>E</w:t>
      </w:r>
      <w:r w:rsidRPr="00D11C54">
        <w:rPr>
          <w:w w:val="105"/>
          <w:sz w:val="18"/>
          <w:lang w:val="el-GR"/>
        </w:rPr>
        <w:t>.</w:t>
      </w:r>
      <w:r>
        <w:rPr>
          <w:w w:val="105"/>
          <w:sz w:val="18"/>
        </w:rPr>
        <w:t>C</w:t>
      </w:r>
      <w:r w:rsidRPr="00D11C54">
        <w:rPr>
          <w:w w:val="105"/>
          <w:sz w:val="18"/>
          <w:lang w:val="el-GR"/>
        </w:rPr>
        <w:t xml:space="preserve">.; μεθοδολογία, </w:t>
      </w:r>
      <w:r>
        <w:rPr>
          <w:w w:val="105"/>
          <w:sz w:val="18"/>
        </w:rPr>
        <w:t>E</w:t>
      </w:r>
      <w:r w:rsidRPr="00D11C54">
        <w:rPr>
          <w:w w:val="105"/>
          <w:sz w:val="18"/>
          <w:lang w:val="el-GR"/>
        </w:rPr>
        <w:t>.</w:t>
      </w:r>
      <w:r>
        <w:rPr>
          <w:w w:val="105"/>
          <w:sz w:val="18"/>
        </w:rPr>
        <w:t>C</w:t>
      </w:r>
      <w:r w:rsidRPr="00D11C54">
        <w:rPr>
          <w:w w:val="105"/>
          <w:sz w:val="18"/>
          <w:lang w:val="el-GR"/>
        </w:rPr>
        <w:t xml:space="preserve">. και </w:t>
      </w:r>
      <w:r>
        <w:rPr>
          <w:w w:val="105"/>
          <w:sz w:val="18"/>
        </w:rPr>
        <w:t>V</w:t>
      </w:r>
      <w:r w:rsidRPr="00D11C54">
        <w:rPr>
          <w:w w:val="105"/>
          <w:sz w:val="18"/>
          <w:lang w:val="el-GR"/>
        </w:rPr>
        <w:t>.</w:t>
      </w:r>
      <w:r>
        <w:rPr>
          <w:w w:val="105"/>
          <w:sz w:val="18"/>
        </w:rPr>
        <w:t>L</w:t>
      </w:r>
      <w:r w:rsidRPr="00D11C54">
        <w:rPr>
          <w:w w:val="105"/>
          <w:sz w:val="18"/>
          <w:lang w:val="el-GR"/>
        </w:rPr>
        <w:t>.</w:t>
      </w:r>
      <w:r>
        <w:rPr>
          <w:w w:val="105"/>
          <w:sz w:val="18"/>
        </w:rPr>
        <w:t>L</w:t>
      </w:r>
      <w:r w:rsidRPr="00D11C54">
        <w:rPr>
          <w:w w:val="105"/>
          <w:sz w:val="18"/>
          <w:lang w:val="el-GR"/>
        </w:rPr>
        <w:t>.</w:t>
      </w:r>
      <w:r>
        <w:rPr>
          <w:w w:val="105"/>
          <w:sz w:val="18"/>
        </w:rPr>
        <w:t>R</w:t>
      </w:r>
      <w:r w:rsidRPr="00D11C54">
        <w:rPr>
          <w:w w:val="105"/>
          <w:sz w:val="18"/>
          <w:lang w:val="el-GR"/>
        </w:rPr>
        <w:t>.; τυπική ανάλυση,</w:t>
      </w:r>
    </w:p>
    <w:p w14:paraId="1DC798B8" w14:textId="77777777" w:rsidR="00F5166D" w:rsidRPr="00D11C54" w:rsidRDefault="00623797">
      <w:pPr>
        <w:spacing w:before="23" w:line="266" w:lineRule="auto"/>
        <w:ind w:left="2722" w:right="115" w:hanging="2"/>
        <w:jc w:val="both"/>
        <w:rPr>
          <w:sz w:val="18"/>
          <w:lang w:val="el-GR"/>
        </w:rPr>
      </w:pPr>
      <w:r>
        <w:rPr>
          <w:w w:val="105"/>
          <w:sz w:val="18"/>
        </w:rPr>
        <w:t>V</w:t>
      </w:r>
      <w:r w:rsidRPr="00D11C54">
        <w:rPr>
          <w:w w:val="105"/>
          <w:sz w:val="18"/>
          <w:lang w:val="el-GR"/>
        </w:rPr>
        <w:t>.</w:t>
      </w:r>
      <w:r>
        <w:rPr>
          <w:w w:val="105"/>
          <w:sz w:val="18"/>
        </w:rPr>
        <w:t>L</w:t>
      </w:r>
      <w:r w:rsidRPr="00D11C54">
        <w:rPr>
          <w:w w:val="105"/>
          <w:sz w:val="18"/>
          <w:lang w:val="el-GR"/>
        </w:rPr>
        <w:t>.</w:t>
      </w:r>
      <w:r>
        <w:rPr>
          <w:w w:val="105"/>
          <w:sz w:val="18"/>
        </w:rPr>
        <w:t>L</w:t>
      </w:r>
      <w:r w:rsidRPr="00D11C54">
        <w:rPr>
          <w:w w:val="105"/>
          <w:sz w:val="18"/>
          <w:lang w:val="el-GR"/>
        </w:rPr>
        <w:t>.</w:t>
      </w:r>
      <w:r>
        <w:rPr>
          <w:w w:val="105"/>
          <w:sz w:val="18"/>
        </w:rPr>
        <w:t>R</w:t>
      </w:r>
      <w:r w:rsidRPr="00D11C54">
        <w:rPr>
          <w:w w:val="105"/>
          <w:sz w:val="18"/>
          <w:lang w:val="el-GR"/>
        </w:rPr>
        <w:t xml:space="preserve">. και </w:t>
      </w:r>
      <w:r>
        <w:rPr>
          <w:w w:val="105"/>
          <w:sz w:val="18"/>
        </w:rPr>
        <w:t>M</w:t>
      </w:r>
      <w:r w:rsidRPr="00D11C54">
        <w:rPr>
          <w:w w:val="105"/>
          <w:sz w:val="18"/>
          <w:lang w:val="el-GR"/>
        </w:rPr>
        <w:t>.</w:t>
      </w:r>
      <w:r>
        <w:rPr>
          <w:w w:val="105"/>
          <w:sz w:val="18"/>
        </w:rPr>
        <w:t>L</w:t>
      </w:r>
      <w:r w:rsidRPr="00D11C54">
        <w:rPr>
          <w:w w:val="105"/>
          <w:sz w:val="18"/>
          <w:lang w:val="el-GR"/>
        </w:rPr>
        <w:t>.</w:t>
      </w:r>
      <w:r>
        <w:rPr>
          <w:w w:val="105"/>
          <w:sz w:val="18"/>
        </w:rPr>
        <w:t>I</w:t>
      </w:r>
      <w:r w:rsidRPr="00D11C54">
        <w:rPr>
          <w:w w:val="105"/>
          <w:sz w:val="18"/>
          <w:lang w:val="el-GR"/>
        </w:rPr>
        <w:t xml:space="preserve">.· έρευνα, </w:t>
      </w:r>
      <w:r>
        <w:rPr>
          <w:w w:val="105"/>
          <w:sz w:val="18"/>
        </w:rPr>
        <w:t>V</w:t>
      </w:r>
      <w:r w:rsidRPr="00D11C54">
        <w:rPr>
          <w:w w:val="105"/>
          <w:sz w:val="18"/>
          <w:lang w:val="el-GR"/>
        </w:rPr>
        <w:t>.</w:t>
      </w:r>
      <w:r>
        <w:rPr>
          <w:w w:val="105"/>
          <w:sz w:val="18"/>
        </w:rPr>
        <w:t>L</w:t>
      </w:r>
      <w:r w:rsidRPr="00D11C54">
        <w:rPr>
          <w:w w:val="105"/>
          <w:sz w:val="18"/>
          <w:lang w:val="el-GR"/>
        </w:rPr>
        <w:t>.</w:t>
      </w:r>
      <w:r>
        <w:rPr>
          <w:w w:val="105"/>
          <w:sz w:val="18"/>
        </w:rPr>
        <w:t>L</w:t>
      </w:r>
      <w:r w:rsidRPr="00D11C54">
        <w:rPr>
          <w:w w:val="105"/>
          <w:sz w:val="18"/>
          <w:lang w:val="el-GR"/>
        </w:rPr>
        <w:t>.</w:t>
      </w:r>
      <w:r>
        <w:rPr>
          <w:w w:val="105"/>
          <w:sz w:val="18"/>
        </w:rPr>
        <w:t>R</w:t>
      </w:r>
      <w:r w:rsidRPr="00D11C54">
        <w:rPr>
          <w:w w:val="105"/>
          <w:sz w:val="18"/>
          <w:lang w:val="el-GR"/>
        </w:rPr>
        <w:t xml:space="preserve">. και </w:t>
      </w:r>
      <w:r>
        <w:rPr>
          <w:w w:val="105"/>
          <w:sz w:val="18"/>
        </w:rPr>
        <w:t>M</w:t>
      </w:r>
      <w:r w:rsidRPr="00D11C54">
        <w:rPr>
          <w:w w:val="105"/>
          <w:sz w:val="18"/>
          <w:lang w:val="el-GR"/>
        </w:rPr>
        <w:t>.</w:t>
      </w:r>
      <w:r>
        <w:rPr>
          <w:w w:val="105"/>
          <w:sz w:val="18"/>
        </w:rPr>
        <w:t>L</w:t>
      </w:r>
      <w:r w:rsidRPr="00D11C54">
        <w:rPr>
          <w:w w:val="105"/>
          <w:sz w:val="18"/>
          <w:lang w:val="el-GR"/>
        </w:rPr>
        <w:t>.</w:t>
      </w:r>
      <w:r>
        <w:rPr>
          <w:w w:val="105"/>
          <w:sz w:val="18"/>
        </w:rPr>
        <w:t>I</w:t>
      </w:r>
      <w:r w:rsidRPr="00D11C54">
        <w:rPr>
          <w:w w:val="105"/>
          <w:sz w:val="18"/>
          <w:lang w:val="el-GR"/>
        </w:rPr>
        <w:t xml:space="preserve">.· επιμέλεια δεδομένων, </w:t>
      </w:r>
      <w:r>
        <w:rPr>
          <w:w w:val="105"/>
          <w:sz w:val="18"/>
        </w:rPr>
        <w:t>V</w:t>
      </w:r>
      <w:r w:rsidRPr="00D11C54">
        <w:rPr>
          <w:w w:val="105"/>
          <w:sz w:val="18"/>
          <w:lang w:val="el-GR"/>
        </w:rPr>
        <w:t>.</w:t>
      </w:r>
      <w:r>
        <w:rPr>
          <w:w w:val="105"/>
          <w:sz w:val="18"/>
        </w:rPr>
        <w:t>L</w:t>
      </w:r>
      <w:r w:rsidRPr="00D11C54">
        <w:rPr>
          <w:w w:val="105"/>
          <w:sz w:val="18"/>
          <w:lang w:val="el-GR"/>
        </w:rPr>
        <w:t>.</w:t>
      </w:r>
      <w:r>
        <w:rPr>
          <w:w w:val="105"/>
          <w:sz w:val="18"/>
        </w:rPr>
        <w:t>L</w:t>
      </w:r>
      <w:r w:rsidRPr="00D11C54">
        <w:rPr>
          <w:w w:val="105"/>
          <w:sz w:val="18"/>
          <w:lang w:val="el-GR"/>
        </w:rPr>
        <w:t>.</w:t>
      </w:r>
      <w:r>
        <w:rPr>
          <w:w w:val="105"/>
          <w:sz w:val="18"/>
        </w:rPr>
        <w:t>R</w:t>
      </w:r>
      <w:r w:rsidRPr="00D11C54">
        <w:rPr>
          <w:w w:val="105"/>
          <w:sz w:val="18"/>
          <w:lang w:val="el-GR"/>
        </w:rPr>
        <w:t xml:space="preserve">.;  συγγραφή – προετοιμασία πρωτότυπου σχεδίου, </w:t>
      </w:r>
      <w:r>
        <w:rPr>
          <w:w w:val="105"/>
          <w:sz w:val="18"/>
        </w:rPr>
        <w:t>E</w:t>
      </w:r>
      <w:r w:rsidRPr="00D11C54">
        <w:rPr>
          <w:w w:val="105"/>
          <w:sz w:val="18"/>
          <w:lang w:val="el-GR"/>
        </w:rPr>
        <w:t>.</w:t>
      </w:r>
      <w:r>
        <w:rPr>
          <w:w w:val="105"/>
          <w:sz w:val="18"/>
        </w:rPr>
        <w:t>C</w:t>
      </w:r>
      <w:r w:rsidRPr="00D11C54">
        <w:rPr>
          <w:w w:val="105"/>
          <w:sz w:val="18"/>
          <w:lang w:val="el-GR"/>
        </w:rPr>
        <w:t xml:space="preserve">., </w:t>
      </w:r>
      <w:r>
        <w:rPr>
          <w:w w:val="105"/>
          <w:sz w:val="18"/>
        </w:rPr>
        <w:t>V</w:t>
      </w:r>
      <w:r w:rsidRPr="00D11C54">
        <w:rPr>
          <w:w w:val="105"/>
          <w:sz w:val="18"/>
          <w:lang w:val="el-GR"/>
        </w:rPr>
        <w:t>.</w:t>
      </w:r>
      <w:r>
        <w:rPr>
          <w:w w:val="105"/>
          <w:sz w:val="18"/>
        </w:rPr>
        <w:t>L</w:t>
      </w:r>
      <w:r w:rsidRPr="00D11C54">
        <w:rPr>
          <w:w w:val="105"/>
          <w:sz w:val="18"/>
          <w:lang w:val="el-GR"/>
        </w:rPr>
        <w:t>.</w:t>
      </w:r>
      <w:r>
        <w:rPr>
          <w:w w:val="105"/>
          <w:sz w:val="18"/>
        </w:rPr>
        <w:t>L</w:t>
      </w:r>
      <w:r w:rsidRPr="00D11C54">
        <w:rPr>
          <w:w w:val="105"/>
          <w:sz w:val="18"/>
          <w:lang w:val="el-GR"/>
        </w:rPr>
        <w:t>.</w:t>
      </w:r>
      <w:r>
        <w:rPr>
          <w:w w:val="105"/>
          <w:sz w:val="18"/>
        </w:rPr>
        <w:t>R</w:t>
      </w:r>
      <w:r w:rsidRPr="00D11C54">
        <w:rPr>
          <w:w w:val="105"/>
          <w:sz w:val="18"/>
          <w:lang w:val="el-GR"/>
        </w:rPr>
        <w:t xml:space="preserve">. και </w:t>
      </w:r>
      <w:r>
        <w:rPr>
          <w:w w:val="105"/>
          <w:sz w:val="18"/>
        </w:rPr>
        <w:t>M</w:t>
      </w:r>
      <w:r w:rsidRPr="00D11C54">
        <w:rPr>
          <w:w w:val="105"/>
          <w:sz w:val="18"/>
          <w:lang w:val="el-GR"/>
        </w:rPr>
        <w:t>.</w:t>
      </w:r>
      <w:r>
        <w:rPr>
          <w:w w:val="105"/>
          <w:sz w:val="18"/>
        </w:rPr>
        <w:t>L</w:t>
      </w:r>
      <w:r w:rsidRPr="00D11C54">
        <w:rPr>
          <w:w w:val="105"/>
          <w:sz w:val="18"/>
          <w:lang w:val="el-GR"/>
        </w:rPr>
        <w:t>.</w:t>
      </w:r>
      <w:r>
        <w:rPr>
          <w:w w:val="105"/>
          <w:sz w:val="18"/>
        </w:rPr>
        <w:t>I</w:t>
      </w:r>
      <w:r w:rsidRPr="00D11C54">
        <w:rPr>
          <w:w w:val="105"/>
          <w:sz w:val="18"/>
          <w:lang w:val="el-GR"/>
        </w:rPr>
        <w:t xml:space="preserve">.· συγγραφή—αναθεώρηση και επιμέλεια, Ε.Σ.· οπτικοποίηση, </w:t>
      </w:r>
      <w:r>
        <w:rPr>
          <w:w w:val="105"/>
          <w:sz w:val="18"/>
        </w:rPr>
        <w:t>V</w:t>
      </w:r>
      <w:r w:rsidRPr="00D11C54">
        <w:rPr>
          <w:w w:val="105"/>
          <w:sz w:val="18"/>
          <w:lang w:val="el-GR"/>
        </w:rPr>
        <w:t>.</w:t>
      </w:r>
      <w:r>
        <w:rPr>
          <w:w w:val="105"/>
          <w:sz w:val="18"/>
        </w:rPr>
        <w:t>L</w:t>
      </w:r>
      <w:r w:rsidRPr="00D11C54">
        <w:rPr>
          <w:w w:val="105"/>
          <w:sz w:val="18"/>
          <w:lang w:val="el-GR"/>
        </w:rPr>
        <w:t>.</w:t>
      </w:r>
      <w:r>
        <w:rPr>
          <w:w w:val="105"/>
          <w:sz w:val="18"/>
        </w:rPr>
        <w:t>L</w:t>
      </w:r>
      <w:r w:rsidRPr="00D11C54">
        <w:rPr>
          <w:w w:val="105"/>
          <w:sz w:val="18"/>
          <w:lang w:val="el-GR"/>
        </w:rPr>
        <w:t>.</w:t>
      </w:r>
      <w:r>
        <w:rPr>
          <w:w w:val="105"/>
          <w:sz w:val="18"/>
        </w:rPr>
        <w:t>R</w:t>
      </w:r>
      <w:r w:rsidRPr="00D11C54">
        <w:rPr>
          <w:w w:val="105"/>
          <w:sz w:val="18"/>
          <w:lang w:val="el-GR"/>
        </w:rPr>
        <w:t>.; εποπτεία, Ε.Ε. και Ε.Σ.· διαχείριση έργου, Ε.Κ. Όλοι οι συγγραφείς έχουν διαβάσει και συμφωνήσει με τη δημοσιευμένη έκδοση του χειρογράφου.</w:t>
      </w:r>
    </w:p>
    <w:p w14:paraId="0D3A9F71" w14:textId="77777777" w:rsidR="00F5166D" w:rsidRPr="00D11C54" w:rsidRDefault="00623797">
      <w:pPr>
        <w:spacing w:before="120"/>
        <w:ind w:left="2727"/>
        <w:jc w:val="both"/>
        <w:rPr>
          <w:sz w:val="18"/>
          <w:lang w:val="el-GR"/>
        </w:rPr>
      </w:pPr>
      <w:r w:rsidRPr="00D11C54">
        <w:rPr>
          <w:b/>
          <w:sz w:val="18"/>
          <w:lang w:val="el-GR"/>
        </w:rPr>
        <w:t xml:space="preserve">Χρηματοδότηση: Η </w:t>
      </w:r>
      <w:r w:rsidRPr="00D11C54">
        <w:rPr>
          <w:sz w:val="18"/>
          <w:lang w:val="el-GR"/>
        </w:rPr>
        <w:t>έρευνα αυτή δεν έλαβε εξωτερική χρηματοδότηση.</w:t>
      </w:r>
    </w:p>
    <w:p w14:paraId="1D03684D" w14:textId="77777777" w:rsidR="00F5166D" w:rsidRPr="00D11C54" w:rsidRDefault="00623797">
      <w:pPr>
        <w:spacing w:before="143" w:line="266" w:lineRule="auto"/>
        <w:ind w:left="2727" w:right="137"/>
        <w:jc w:val="both"/>
        <w:rPr>
          <w:sz w:val="18"/>
          <w:lang w:val="el-GR"/>
        </w:rPr>
      </w:pPr>
      <w:r w:rsidRPr="00D11C54">
        <w:rPr>
          <w:b/>
          <w:sz w:val="18"/>
          <w:lang w:val="el-GR"/>
        </w:rPr>
        <w:t xml:space="preserve">Δήλωση του Συμβουλίου Θεσμικής Αναθεώρησης: </w:t>
      </w:r>
      <w:r w:rsidRPr="00D11C54">
        <w:rPr>
          <w:sz w:val="18"/>
          <w:lang w:val="el-GR"/>
        </w:rPr>
        <w:t>Η μελέτη διεξήχθη σύμφωνα με τη Διακήρυξη του Ελσίνκι και εγκρίθηκε από το Συμβούλιο Θεσμικής Αναθεώρησης του Τμήματος Εκπαιδευτικών Επιστημών του Πανεπιστημίου της Κατάνια (7 Ιανουαρίου 2021).</w:t>
      </w:r>
    </w:p>
    <w:p w14:paraId="26C518EE" w14:textId="77777777" w:rsidR="00F5166D" w:rsidRPr="00D11C54" w:rsidRDefault="00623797">
      <w:pPr>
        <w:spacing w:before="119"/>
        <w:ind w:left="2727"/>
        <w:jc w:val="both"/>
        <w:rPr>
          <w:sz w:val="18"/>
          <w:lang w:val="el-GR"/>
        </w:rPr>
      </w:pPr>
      <w:r w:rsidRPr="00D11C54">
        <w:rPr>
          <w:b/>
          <w:sz w:val="18"/>
          <w:lang w:val="el-GR"/>
        </w:rPr>
        <w:t xml:space="preserve">Δήλωση συναίνεσης  κατόπιν ενημέρωσης: </w:t>
      </w:r>
      <w:r w:rsidRPr="00D11C54">
        <w:rPr>
          <w:sz w:val="18"/>
          <w:lang w:val="el-GR"/>
        </w:rPr>
        <w:t>Η συναίνεση κατόπιν ενημέρωσης ελήφθη από όλα τα άτομα που συμμετείχαν στη μελέτη.</w:t>
      </w:r>
    </w:p>
    <w:p w14:paraId="725A3CD2" w14:textId="77777777" w:rsidR="00F5166D" w:rsidRPr="00D11C54" w:rsidRDefault="00623797">
      <w:pPr>
        <w:spacing w:before="143" w:line="266" w:lineRule="auto"/>
        <w:ind w:left="2727" w:right="138"/>
        <w:jc w:val="both"/>
        <w:rPr>
          <w:sz w:val="18"/>
          <w:lang w:val="el-GR"/>
        </w:rPr>
      </w:pPr>
      <w:r w:rsidRPr="00D11C54">
        <w:rPr>
          <w:b/>
          <w:w w:val="105"/>
          <w:sz w:val="18"/>
          <w:lang w:val="el-GR"/>
        </w:rPr>
        <w:t xml:space="preserve">Δήλωση διαθεσιμότητας δεδομένων: </w:t>
      </w:r>
      <w:r w:rsidRPr="00D11C54">
        <w:rPr>
          <w:w w:val="105"/>
          <w:sz w:val="18"/>
          <w:lang w:val="el-GR"/>
        </w:rPr>
        <w:t>Τα δεδομένα που παρουσιάζονται σε αυτή τη μελέτη είναι διαθέσιμα κατόπιν αιτήματος από τον αντίστοιχο συγγραφέα. Τα δεδομένα δεν είναι διαθέσιμα στο κοινό λόγω της πολιτικής του τμήματος.</w:t>
      </w:r>
    </w:p>
    <w:p w14:paraId="0ADC46BE" w14:textId="77777777" w:rsidR="00F5166D" w:rsidRPr="00D11C54" w:rsidRDefault="00623797">
      <w:pPr>
        <w:spacing w:before="120" w:line="266" w:lineRule="auto"/>
        <w:ind w:left="2720" w:right="134"/>
        <w:jc w:val="both"/>
        <w:rPr>
          <w:sz w:val="18"/>
          <w:lang w:val="el-GR"/>
        </w:rPr>
      </w:pPr>
      <w:r w:rsidRPr="00D11C54">
        <w:rPr>
          <w:b/>
          <w:w w:val="105"/>
          <w:sz w:val="18"/>
          <w:lang w:val="el-GR"/>
        </w:rPr>
        <w:t xml:space="preserve">Ευχαριστίες: </w:t>
      </w:r>
      <w:r w:rsidRPr="00D11C54">
        <w:rPr>
          <w:w w:val="105"/>
          <w:sz w:val="18"/>
          <w:lang w:val="el-GR"/>
        </w:rPr>
        <w:t>Ευχαριστούμε τα σχολεία και τους μαθητές που συμμετείχαν σε αυτή τη μελέτη για την προθυμία και τη συνεργασία τους.</w:t>
      </w:r>
    </w:p>
    <w:p w14:paraId="3F92A3A4" w14:textId="77777777" w:rsidR="00F5166D" w:rsidRPr="00D11C54" w:rsidRDefault="00623797">
      <w:pPr>
        <w:spacing w:before="120"/>
        <w:ind w:left="2727"/>
        <w:jc w:val="both"/>
        <w:rPr>
          <w:sz w:val="18"/>
          <w:lang w:val="el-GR"/>
        </w:rPr>
      </w:pPr>
      <w:r w:rsidRPr="00D11C54">
        <w:rPr>
          <w:b/>
          <w:sz w:val="18"/>
          <w:lang w:val="el-GR"/>
        </w:rPr>
        <w:t xml:space="preserve">Συγκρούσεις συμφερόντων: Οι </w:t>
      </w:r>
      <w:r w:rsidRPr="00D11C54">
        <w:rPr>
          <w:sz w:val="18"/>
          <w:lang w:val="el-GR"/>
        </w:rPr>
        <w:t>συγγραφείς δηλώνουν ότι δεν υπάρχει σύγκρουση συμφερόντων.</w:t>
      </w:r>
    </w:p>
    <w:p w14:paraId="779CA264" w14:textId="77777777" w:rsidR="00F5166D" w:rsidRPr="00D11C54" w:rsidRDefault="00F5166D">
      <w:pPr>
        <w:jc w:val="both"/>
        <w:rPr>
          <w:sz w:val="18"/>
          <w:lang w:val="el-GR"/>
        </w:rPr>
        <w:sectPr w:rsidR="00F5166D" w:rsidRPr="00D11C54">
          <w:pgSz w:w="11910" w:h="16840"/>
          <w:pgMar w:top="1400" w:right="580" w:bottom="280" w:left="600" w:header="1109" w:footer="0" w:gutter="0"/>
          <w:cols w:space="720"/>
        </w:sectPr>
      </w:pPr>
    </w:p>
    <w:p w14:paraId="4F0ED209" w14:textId="77777777" w:rsidR="00F5166D" w:rsidRPr="00D11C54" w:rsidRDefault="00F5166D">
      <w:pPr>
        <w:pStyle w:val="a3"/>
        <w:rPr>
          <w:lang w:val="el-GR"/>
        </w:rPr>
      </w:pPr>
    </w:p>
    <w:p w14:paraId="069C78EB" w14:textId="77777777" w:rsidR="00F5166D" w:rsidRPr="00D11C54" w:rsidRDefault="00F5166D">
      <w:pPr>
        <w:pStyle w:val="a3"/>
        <w:spacing w:before="6"/>
        <w:rPr>
          <w:sz w:val="21"/>
          <w:lang w:val="el-GR"/>
        </w:rPr>
      </w:pPr>
    </w:p>
    <w:p w14:paraId="3BD77416" w14:textId="77777777" w:rsidR="00F5166D" w:rsidRDefault="00623797">
      <w:pPr>
        <w:pStyle w:val="1"/>
        <w:ind w:left="114" w:firstLine="0"/>
        <w:jc w:val="left"/>
      </w:pPr>
      <w:bookmarkStart w:id="23" w:name="_bookmark7"/>
      <w:bookmarkEnd w:id="23"/>
      <w:r>
        <w:t>Αναφορές</w:t>
      </w:r>
    </w:p>
    <w:p w14:paraId="538D49FB" w14:textId="77777777" w:rsidR="00F5166D" w:rsidRDefault="00623797">
      <w:pPr>
        <w:pStyle w:val="a5"/>
        <w:numPr>
          <w:ilvl w:val="0"/>
          <w:numId w:val="1"/>
        </w:numPr>
        <w:tabs>
          <w:tab w:val="left" w:pos="544"/>
          <w:tab w:val="left" w:pos="545"/>
        </w:tabs>
        <w:spacing w:before="57" w:line="244" w:lineRule="auto"/>
        <w:ind w:right="138"/>
        <w:rPr>
          <w:sz w:val="18"/>
        </w:rPr>
      </w:pPr>
      <w:r w:rsidRPr="00D11C54">
        <w:rPr>
          <w:sz w:val="18"/>
          <w:lang w:val="el-GR"/>
        </w:rPr>
        <w:t xml:space="preserve">Αμερικανική Ψυχιατρική Εταιρεία. </w:t>
      </w:r>
      <w:r w:rsidRPr="00D11C54">
        <w:rPr>
          <w:rFonts w:ascii="Palatino Linotype"/>
          <w:i/>
          <w:sz w:val="18"/>
          <w:lang w:val="el-GR"/>
        </w:rPr>
        <w:t>Διαγνωστικό</w:t>
      </w:r>
      <w:r w:rsidRPr="00D11C54">
        <w:rPr>
          <w:rFonts w:ascii="Palatino Linotype"/>
          <w:i/>
          <w:sz w:val="18"/>
          <w:lang w:val="el-GR"/>
        </w:rPr>
        <w:t xml:space="preserve"> </w:t>
      </w:r>
      <w:r w:rsidRPr="00D11C54">
        <w:rPr>
          <w:rFonts w:ascii="Palatino Linotype"/>
          <w:i/>
          <w:sz w:val="18"/>
          <w:lang w:val="el-GR"/>
        </w:rPr>
        <w:t>και</w:t>
      </w:r>
      <w:r w:rsidRPr="00D11C54">
        <w:rPr>
          <w:rFonts w:ascii="Palatino Linotype"/>
          <w:i/>
          <w:sz w:val="18"/>
          <w:lang w:val="el-GR"/>
        </w:rPr>
        <w:t xml:space="preserve"> </w:t>
      </w:r>
      <w:r w:rsidRPr="00D11C54">
        <w:rPr>
          <w:rFonts w:ascii="Palatino Linotype"/>
          <w:i/>
          <w:sz w:val="18"/>
          <w:lang w:val="el-GR"/>
        </w:rPr>
        <w:t>Στατιστικό</w:t>
      </w:r>
      <w:r w:rsidRPr="00D11C54">
        <w:rPr>
          <w:rFonts w:ascii="Palatino Linotype"/>
          <w:i/>
          <w:sz w:val="18"/>
          <w:lang w:val="el-GR"/>
        </w:rPr>
        <w:t xml:space="preserve"> </w:t>
      </w:r>
      <w:r w:rsidRPr="00D11C54">
        <w:rPr>
          <w:rFonts w:ascii="Palatino Linotype"/>
          <w:i/>
          <w:sz w:val="18"/>
          <w:lang w:val="el-GR"/>
        </w:rPr>
        <w:t>Εγχειρίδιο</w:t>
      </w:r>
      <w:r w:rsidRPr="00D11C54">
        <w:rPr>
          <w:rFonts w:ascii="Palatino Linotype"/>
          <w:i/>
          <w:sz w:val="18"/>
          <w:lang w:val="el-GR"/>
        </w:rPr>
        <w:t xml:space="preserve"> </w:t>
      </w:r>
      <w:r w:rsidRPr="00D11C54">
        <w:rPr>
          <w:rFonts w:ascii="Palatino Linotype"/>
          <w:i/>
          <w:sz w:val="18"/>
          <w:lang w:val="el-GR"/>
        </w:rPr>
        <w:t>Ψυχικής</w:t>
      </w:r>
      <w:r w:rsidRPr="00D11C54">
        <w:rPr>
          <w:rFonts w:ascii="Palatino Linotype"/>
          <w:i/>
          <w:sz w:val="18"/>
          <w:lang w:val="el-GR"/>
        </w:rPr>
        <w:t xml:space="preserve"> </w:t>
      </w:r>
      <w:r w:rsidRPr="00D11C54">
        <w:rPr>
          <w:rFonts w:ascii="Palatino Linotype"/>
          <w:i/>
          <w:sz w:val="18"/>
          <w:lang w:val="el-GR"/>
        </w:rPr>
        <w:t>Διαταραχής</w:t>
      </w:r>
      <w:r w:rsidRPr="00D11C54">
        <w:rPr>
          <w:rFonts w:ascii="Palatino Linotype"/>
          <w:i/>
          <w:sz w:val="18"/>
          <w:lang w:val="el-GR"/>
        </w:rPr>
        <w:t xml:space="preserve">, </w:t>
      </w:r>
      <w:r w:rsidRPr="00D11C54">
        <w:rPr>
          <w:rFonts w:ascii="Palatino Linotype"/>
          <w:i/>
          <w:sz w:val="18"/>
          <w:lang w:val="el-GR"/>
        </w:rPr>
        <w:t>Πέμπτη</w:t>
      </w:r>
      <w:r w:rsidRPr="00D11C54">
        <w:rPr>
          <w:rFonts w:ascii="Palatino Linotype"/>
          <w:i/>
          <w:sz w:val="18"/>
          <w:lang w:val="el-GR"/>
        </w:rPr>
        <w:t xml:space="preserve"> </w:t>
      </w:r>
      <w:r w:rsidRPr="00D11C54">
        <w:rPr>
          <w:rFonts w:ascii="Palatino Linotype"/>
          <w:i/>
          <w:sz w:val="18"/>
          <w:lang w:val="el-GR"/>
        </w:rPr>
        <w:t>Έκδοση</w:t>
      </w:r>
      <w:r w:rsidRPr="00D11C54">
        <w:rPr>
          <w:rFonts w:ascii="Palatino Linotype"/>
          <w:i/>
          <w:sz w:val="18"/>
          <w:lang w:val="el-GR"/>
        </w:rPr>
        <w:t xml:space="preserve"> (</w:t>
      </w:r>
      <w:r>
        <w:rPr>
          <w:rFonts w:ascii="Palatino Linotype"/>
          <w:i/>
          <w:sz w:val="18"/>
        </w:rPr>
        <w:t>DSM</w:t>
      </w:r>
      <w:r w:rsidRPr="00D11C54">
        <w:rPr>
          <w:rFonts w:ascii="Palatino Linotype"/>
          <w:i/>
          <w:sz w:val="18"/>
          <w:lang w:val="el-GR"/>
        </w:rPr>
        <w:t>-</w:t>
      </w:r>
      <w:r>
        <w:rPr>
          <w:rFonts w:ascii="Palatino Linotype"/>
          <w:i/>
          <w:sz w:val="18"/>
        </w:rPr>
        <w:t>V</w:t>
      </w:r>
      <w:r w:rsidRPr="00D11C54">
        <w:rPr>
          <w:rFonts w:ascii="Palatino Linotype"/>
          <w:i/>
          <w:sz w:val="18"/>
          <w:lang w:val="el-GR"/>
        </w:rPr>
        <w:t>).</w:t>
      </w:r>
      <w:r w:rsidRPr="00D11C54">
        <w:rPr>
          <w:sz w:val="18"/>
          <w:lang w:val="el-GR"/>
        </w:rPr>
        <w:t xml:space="preserve"> </w:t>
      </w:r>
      <w:r>
        <w:rPr>
          <w:sz w:val="18"/>
        </w:rPr>
        <w:t xml:space="preserve">American Psychiatric </w:t>
      </w:r>
      <w:bookmarkStart w:id="24" w:name="_bookmark8"/>
      <w:bookmarkEnd w:id="24"/>
      <w:r>
        <w:rPr>
          <w:w w:val="105"/>
          <w:sz w:val="18"/>
        </w:rPr>
        <w:t>Publishing: Arlington, VA, ΗΠΑ, 2013.</w:t>
      </w:r>
    </w:p>
    <w:p w14:paraId="6E5C01CA" w14:textId="77777777" w:rsidR="00F5166D" w:rsidRDefault="00623797">
      <w:pPr>
        <w:pStyle w:val="a5"/>
        <w:numPr>
          <w:ilvl w:val="0"/>
          <w:numId w:val="1"/>
        </w:numPr>
        <w:tabs>
          <w:tab w:val="left" w:pos="545"/>
        </w:tabs>
        <w:spacing w:line="240" w:lineRule="exact"/>
        <w:jc w:val="both"/>
        <w:rPr>
          <w:sz w:val="18"/>
        </w:rPr>
      </w:pPr>
      <w:bookmarkStart w:id="25" w:name="_bookmark9"/>
      <w:bookmarkEnd w:id="25"/>
      <w:r>
        <w:rPr>
          <w:sz w:val="18"/>
        </w:rPr>
        <w:t xml:space="preserve">Tressoldi, Π.Ε.; Vio, Γ. </w:t>
      </w:r>
      <w:r>
        <w:rPr>
          <w:rFonts w:ascii="Palatino Linotype" w:hAnsi="Palatino Linotype"/>
          <w:i/>
          <w:sz w:val="18"/>
        </w:rPr>
        <w:t>Il Trattamento dei Disturbi Specifici Dell'apprendimento Scolastico</w:t>
      </w:r>
      <w:r>
        <w:rPr>
          <w:sz w:val="18"/>
        </w:rPr>
        <w:t>; Edizioni Erickson: Trento, Ιταλία, 2012.</w:t>
      </w:r>
    </w:p>
    <w:p w14:paraId="5ABD99E4" w14:textId="77777777" w:rsidR="00F5166D" w:rsidRPr="00D11C54" w:rsidRDefault="00623797">
      <w:pPr>
        <w:pStyle w:val="a5"/>
        <w:numPr>
          <w:ilvl w:val="0"/>
          <w:numId w:val="1"/>
        </w:numPr>
        <w:tabs>
          <w:tab w:val="left" w:pos="545"/>
        </w:tabs>
        <w:spacing w:before="5" w:line="252" w:lineRule="auto"/>
        <w:ind w:right="137"/>
        <w:jc w:val="both"/>
        <w:rPr>
          <w:sz w:val="18"/>
          <w:lang w:val="el-GR"/>
        </w:rPr>
      </w:pPr>
      <w:r>
        <w:rPr>
          <w:w w:val="105"/>
          <w:sz w:val="18"/>
        </w:rPr>
        <w:t xml:space="preserve">Lorusso, Μ.Λ.; Vernice, Μ.; Dieterich, Μ.; </w:t>
      </w:r>
      <w:r w:rsidRPr="00D11C54">
        <w:rPr>
          <w:w w:val="105"/>
          <w:sz w:val="18"/>
          <w:lang w:val="fr-FR"/>
        </w:rPr>
        <w:t xml:space="preserve">Brizzolara, </w:t>
      </w:r>
      <w:r>
        <w:rPr>
          <w:w w:val="105"/>
          <w:sz w:val="18"/>
        </w:rPr>
        <w:t>Δ</w:t>
      </w:r>
      <w:r w:rsidRPr="00D11C54">
        <w:rPr>
          <w:w w:val="105"/>
          <w:sz w:val="18"/>
          <w:lang w:val="fr-FR"/>
        </w:rPr>
        <w:t xml:space="preserve">.; Mariani, </w:t>
      </w:r>
      <w:r>
        <w:rPr>
          <w:w w:val="105"/>
          <w:sz w:val="18"/>
        </w:rPr>
        <w:t>Ε</w:t>
      </w:r>
      <w:r w:rsidRPr="00D11C54">
        <w:rPr>
          <w:w w:val="105"/>
          <w:sz w:val="18"/>
          <w:lang w:val="fr-FR"/>
        </w:rPr>
        <w:t xml:space="preserve">.; Masi, S.D.; D'Angelo, </w:t>
      </w:r>
      <w:r>
        <w:rPr>
          <w:w w:val="105"/>
          <w:sz w:val="18"/>
        </w:rPr>
        <w:t>Φ</w:t>
      </w:r>
      <w:r w:rsidRPr="00D11C54">
        <w:rPr>
          <w:w w:val="105"/>
          <w:sz w:val="18"/>
          <w:lang w:val="fr-FR"/>
        </w:rPr>
        <w:t xml:space="preserve">.; </w:t>
      </w:r>
      <w:r>
        <w:rPr>
          <w:w w:val="105"/>
          <w:sz w:val="18"/>
        </w:rPr>
        <w:t>Lacorte</w:t>
      </w:r>
      <w:r w:rsidRPr="00D11C54">
        <w:rPr>
          <w:w w:val="105"/>
          <w:sz w:val="18"/>
          <w:lang w:val="el-GR"/>
        </w:rPr>
        <w:t xml:space="preserve">, Ε.; </w:t>
      </w:r>
      <w:r>
        <w:rPr>
          <w:w w:val="105"/>
          <w:sz w:val="18"/>
        </w:rPr>
        <w:t>Mele</w:t>
      </w:r>
      <w:r w:rsidRPr="00D11C54">
        <w:rPr>
          <w:w w:val="105"/>
          <w:sz w:val="18"/>
          <w:lang w:val="el-GR"/>
        </w:rPr>
        <w:t xml:space="preserve">, Α. Η διαδικασία και τα κριτήρια για τη διάγνωση συγκεκριμένων μαθησιακών διαταραχών: Ενδείξεις από τη Διάσκεψη Συναίνεσης που προωθείται από το Ιταλικό Εθνικό Ινστιτούτο Υγείας. </w:t>
      </w:r>
      <w:bookmarkStart w:id="26" w:name="_bookmark10"/>
      <w:bookmarkEnd w:id="26"/>
      <w:r>
        <w:rPr>
          <w:rFonts w:ascii="Palatino Linotype" w:hAnsi="Palatino Linotype"/>
          <w:i/>
          <w:w w:val="105"/>
          <w:sz w:val="18"/>
        </w:rPr>
        <w:t>Ann</w:t>
      </w:r>
      <w:r w:rsidRPr="00D11C54">
        <w:rPr>
          <w:rFonts w:ascii="Palatino Linotype" w:hAnsi="Palatino Linotype"/>
          <w:i/>
          <w:w w:val="105"/>
          <w:sz w:val="18"/>
          <w:lang w:val="el-GR"/>
        </w:rPr>
        <w:t xml:space="preserve">. </w:t>
      </w:r>
      <w:r>
        <w:rPr>
          <w:rFonts w:ascii="Palatino Linotype" w:hAnsi="Palatino Linotype"/>
          <w:i/>
          <w:w w:val="105"/>
          <w:sz w:val="18"/>
        </w:rPr>
        <w:t>Dell</w:t>
      </w:r>
      <w:r w:rsidRPr="00D11C54">
        <w:rPr>
          <w:rFonts w:ascii="Palatino Linotype" w:hAnsi="Palatino Linotype"/>
          <w:i/>
          <w:w w:val="105"/>
          <w:sz w:val="18"/>
          <w:lang w:val="el-GR"/>
        </w:rPr>
        <w:t>'</w:t>
      </w:r>
      <w:r>
        <w:rPr>
          <w:rFonts w:ascii="Palatino Linotype" w:hAnsi="Palatino Linotype"/>
          <w:i/>
          <w:w w:val="105"/>
          <w:sz w:val="18"/>
        </w:rPr>
        <w:t>istituto</w:t>
      </w:r>
      <w:r w:rsidRPr="00D11C54">
        <w:rPr>
          <w:rFonts w:ascii="Palatino Linotype" w:hAnsi="Palatino Linotype"/>
          <w:i/>
          <w:w w:val="105"/>
          <w:sz w:val="18"/>
          <w:lang w:val="el-GR"/>
        </w:rPr>
        <w:t xml:space="preserve"> </w:t>
      </w:r>
      <w:r>
        <w:rPr>
          <w:rFonts w:ascii="Palatino Linotype" w:hAnsi="Palatino Linotype"/>
          <w:i/>
          <w:w w:val="105"/>
          <w:sz w:val="18"/>
        </w:rPr>
        <w:t>Super</w:t>
      </w:r>
      <w:r w:rsidRPr="00D11C54">
        <w:rPr>
          <w:rFonts w:ascii="Palatino Linotype" w:hAnsi="Palatino Linotype"/>
          <w:i/>
          <w:w w:val="105"/>
          <w:sz w:val="18"/>
          <w:lang w:val="el-GR"/>
        </w:rPr>
        <w:t xml:space="preserve">. Σανίτα </w:t>
      </w:r>
      <w:r w:rsidRPr="00D11C54">
        <w:rPr>
          <w:b/>
          <w:w w:val="105"/>
          <w:sz w:val="18"/>
          <w:lang w:val="el-GR"/>
        </w:rPr>
        <w:t>2014</w:t>
      </w:r>
      <w:r w:rsidRPr="00D11C54">
        <w:rPr>
          <w:w w:val="105"/>
          <w:sz w:val="18"/>
          <w:lang w:val="el-GR"/>
        </w:rPr>
        <w:t xml:space="preserve">, </w:t>
      </w:r>
      <w:r w:rsidRPr="00D11C54">
        <w:rPr>
          <w:rFonts w:ascii="Palatino Linotype" w:hAnsi="Palatino Linotype"/>
          <w:i/>
          <w:w w:val="105"/>
          <w:sz w:val="18"/>
          <w:lang w:val="el-GR"/>
        </w:rPr>
        <w:t>50</w:t>
      </w:r>
      <w:r w:rsidRPr="00D11C54">
        <w:rPr>
          <w:w w:val="105"/>
          <w:sz w:val="18"/>
          <w:lang w:val="el-GR"/>
        </w:rPr>
        <w:t>, 77–89.</w:t>
      </w:r>
    </w:p>
    <w:p w14:paraId="36C5B53E" w14:textId="77777777" w:rsidR="00F5166D" w:rsidRDefault="00623797">
      <w:pPr>
        <w:pStyle w:val="a5"/>
        <w:numPr>
          <w:ilvl w:val="0"/>
          <w:numId w:val="1"/>
        </w:numPr>
        <w:tabs>
          <w:tab w:val="left" w:pos="545"/>
        </w:tabs>
        <w:spacing w:line="211" w:lineRule="exact"/>
        <w:jc w:val="both"/>
        <w:rPr>
          <w:rFonts w:ascii="Palatino Linotype" w:hAnsi="Palatino Linotype"/>
          <w:i/>
          <w:sz w:val="18"/>
        </w:rPr>
      </w:pPr>
      <w:r>
        <w:rPr>
          <w:sz w:val="18"/>
        </w:rPr>
        <w:t xml:space="preserve">Bisacchi, Π.; Vio, C. La valutazione neuropsicologica in età evolutiva. Στο </w:t>
      </w:r>
      <w:r>
        <w:rPr>
          <w:rFonts w:ascii="Palatino Linotype" w:hAnsi="Palatino Linotype"/>
          <w:i/>
          <w:sz w:val="18"/>
        </w:rPr>
        <w:t>BVN 5-11 Batteria di Valutazione Neuropsicologica per l'età</w:t>
      </w:r>
    </w:p>
    <w:p w14:paraId="59C6D733" w14:textId="77777777" w:rsidR="00F5166D" w:rsidRDefault="00623797">
      <w:pPr>
        <w:spacing w:line="230" w:lineRule="exact"/>
        <w:ind w:left="539"/>
        <w:jc w:val="both"/>
        <w:rPr>
          <w:sz w:val="18"/>
        </w:rPr>
      </w:pPr>
      <w:bookmarkStart w:id="27" w:name="_bookmark11"/>
      <w:bookmarkEnd w:id="27"/>
      <w:r>
        <w:rPr>
          <w:rFonts w:ascii="Palatino Linotype" w:hAnsi="Palatino Linotype"/>
          <w:i/>
          <w:w w:val="105"/>
          <w:sz w:val="18"/>
        </w:rPr>
        <w:t>Evolutiva</w:t>
      </w:r>
      <w:r>
        <w:rPr>
          <w:w w:val="105"/>
          <w:sz w:val="18"/>
        </w:rPr>
        <w:t>; Bisiacchi, P.S., Cendron, Μ., Gugliotta, Μ., Tressoldi, P.E., Vio, C., Eds.; Erickson: Trento, Ιταλία, 2005; σελίδες 9–19.</w:t>
      </w:r>
    </w:p>
    <w:p w14:paraId="3C3AAAE6" w14:textId="77777777" w:rsidR="00F5166D" w:rsidRDefault="00623797">
      <w:pPr>
        <w:pStyle w:val="a5"/>
        <w:numPr>
          <w:ilvl w:val="0"/>
          <w:numId w:val="1"/>
        </w:numPr>
        <w:tabs>
          <w:tab w:val="left" w:pos="545"/>
        </w:tabs>
        <w:spacing w:line="244" w:lineRule="auto"/>
        <w:ind w:right="115"/>
        <w:jc w:val="both"/>
        <w:rPr>
          <w:sz w:val="18"/>
        </w:rPr>
      </w:pPr>
      <w:r>
        <w:rPr>
          <w:sz w:val="18"/>
        </w:rPr>
        <w:t>Hulme</w:t>
      </w:r>
      <w:r w:rsidRPr="00D11C54">
        <w:rPr>
          <w:sz w:val="18"/>
          <w:lang w:val="el-GR"/>
        </w:rPr>
        <w:t xml:space="preserve">, Γ.; </w:t>
      </w:r>
      <w:r>
        <w:rPr>
          <w:sz w:val="18"/>
        </w:rPr>
        <w:t>Snowling</w:t>
      </w:r>
      <w:r w:rsidRPr="00D11C54">
        <w:rPr>
          <w:sz w:val="18"/>
          <w:lang w:val="el-GR"/>
        </w:rPr>
        <w:t xml:space="preserve">, Μ.Τζ. </w:t>
      </w:r>
      <w:r w:rsidRPr="00D11C54">
        <w:rPr>
          <w:rFonts w:ascii="Palatino Linotype"/>
          <w:i/>
          <w:sz w:val="18"/>
          <w:lang w:val="el-GR"/>
        </w:rPr>
        <w:t>αναπτυξιακές</w:t>
      </w:r>
      <w:r w:rsidRPr="00D11C54">
        <w:rPr>
          <w:rFonts w:ascii="Palatino Linotype"/>
          <w:i/>
          <w:sz w:val="18"/>
          <w:lang w:val="el-GR"/>
        </w:rPr>
        <w:t xml:space="preserve"> </w:t>
      </w:r>
      <w:r w:rsidRPr="00D11C54">
        <w:rPr>
          <w:rFonts w:ascii="Palatino Linotype"/>
          <w:i/>
          <w:sz w:val="18"/>
          <w:lang w:val="el-GR"/>
        </w:rPr>
        <w:t>διαταραχές</w:t>
      </w:r>
      <w:r w:rsidRPr="00D11C54">
        <w:rPr>
          <w:rFonts w:ascii="Palatino Linotype"/>
          <w:i/>
          <w:sz w:val="18"/>
          <w:lang w:val="el-GR"/>
        </w:rPr>
        <w:t xml:space="preserve"> </w:t>
      </w:r>
      <w:r w:rsidRPr="00D11C54">
        <w:rPr>
          <w:rFonts w:ascii="Palatino Linotype"/>
          <w:i/>
          <w:sz w:val="18"/>
          <w:lang w:val="el-GR"/>
        </w:rPr>
        <w:t>της</w:t>
      </w:r>
      <w:r w:rsidRPr="00D11C54">
        <w:rPr>
          <w:rFonts w:ascii="Palatino Linotype"/>
          <w:i/>
          <w:sz w:val="18"/>
          <w:lang w:val="el-GR"/>
        </w:rPr>
        <w:t xml:space="preserve"> </w:t>
      </w:r>
      <w:r w:rsidRPr="00D11C54">
        <w:rPr>
          <w:rFonts w:ascii="Palatino Linotype"/>
          <w:i/>
          <w:sz w:val="18"/>
          <w:lang w:val="el-GR"/>
        </w:rPr>
        <w:t>εκμάθησης</w:t>
      </w:r>
      <w:r w:rsidRPr="00D11C54">
        <w:rPr>
          <w:rFonts w:ascii="Palatino Linotype"/>
          <w:i/>
          <w:sz w:val="18"/>
          <w:lang w:val="el-GR"/>
        </w:rPr>
        <w:t xml:space="preserve"> </w:t>
      </w:r>
      <w:r w:rsidRPr="00D11C54">
        <w:rPr>
          <w:rFonts w:ascii="Palatino Linotype"/>
          <w:i/>
          <w:sz w:val="18"/>
          <w:lang w:val="el-GR"/>
        </w:rPr>
        <w:t>γλωσσών</w:t>
      </w:r>
      <w:r w:rsidRPr="00D11C54">
        <w:rPr>
          <w:rFonts w:ascii="Palatino Linotype"/>
          <w:i/>
          <w:sz w:val="18"/>
          <w:lang w:val="el-GR"/>
        </w:rPr>
        <w:t xml:space="preserve"> </w:t>
      </w:r>
      <w:r w:rsidRPr="00D11C54">
        <w:rPr>
          <w:rFonts w:ascii="Palatino Linotype"/>
          <w:i/>
          <w:sz w:val="18"/>
          <w:lang w:val="el-GR"/>
        </w:rPr>
        <w:t>και</w:t>
      </w:r>
      <w:r w:rsidRPr="00D11C54">
        <w:rPr>
          <w:rFonts w:ascii="Palatino Linotype"/>
          <w:i/>
          <w:sz w:val="18"/>
          <w:lang w:val="el-GR"/>
        </w:rPr>
        <w:t xml:space="preserve"> </w:t>
      </w:r>
      <w:r w:rsidRPr="00D11C54">
        <w:rPr>
          <w:rFonts w:ascii="Palatino Linotype"/>
          <w:i/>
          <w:sz w:val="18"/>
          <w:lang w:val="el-GR"/>
        </w:rPr>
        <w:t>της</w:t>
      </w:r>
      <w:r w:rsidRPr="00D11C54">
        <w:rPr>
          <w:rFonts w:ascii="Palatino Linotype"/>
          <w:i/>
          <w:sz w:val="18"/>
          <w:lang w:val="el-GR"/>
        </w:rPr>
        <w:t xml:space="preserve"> </w:t>
      </w:r>
      <w:r w:rsidRPr="00D11C54">
        <w:rPr>
          <w:rFonts w:ascii="Palatino Linotype"/>
          <w:i/>
          <w:sz w:val="18"/>
          <w:lang w:val="el-GR"/>
        </w:rPr>
        <w:t>γνώσης</w:t>
      </w:r>
      <w:r w:rsidRPr="00D11C54">
        <w:rPr>
          <w:sz w:val="18"/>
          <w:lang w:val="el-GR"/>
        </w:rPr>
        <w:t xml:space="preserve">. </w:t>
      </w:r>
      <w:r>
        <w:rPr>
          <w:sz w:val="18"/>
        </w:rPr>
        <w:t>Wiley-Blackwell: Chichester, Ηνωμένο Βασίλειο; Malden</w:t>
      </w:r>
      <w:bookmarkStart w:id="28" w:name="_bookmark12"/>
      <w:bookmarkEnd w:id="28"/>
      <w:r>
        <w:rPr>
          <w:w w:val="105"/>
          <w:sz w:val="18"/>
        </w:rPr>
        <w:t>, MA, ΗΠΑ, 2009.</w:t>
      </w:r>
    </w:p>
    <w:p w14:paraId="31BB1E8F" w14:textId="77777777" w:rsidR="00F5166D" w:rsidRPr="00D11C54" w:rsidRDefault="00623797">
      <w:pPr>
        <w:pStyle w:val="a5"/>
        <w:numPr>
          <w:ilvl w:val="0"/>
          <w:numId w:val="1"/>
        </w:numPr>
        <w:tabs>
          <w:tab w:val="left" w:pos="544"/>
          <w:tab w:val="left" w:pos="545"/>
        </w:tabs>
        <w:spacing w:before="1" w:line="228" w:lineRule="auto"/>
        <w:ind w:left="537" w:right="138" w:hanging="424"/>
        <w:rPr>
          <w:sz w:val="18"/>
          <w:lang w:val="el-GR"/>
        </w:rPr>
      </w:pPr>
      <w:r>
        <w:rPr>
          <w:sz w:val="18"/>
        </w:rPr>
        <w:t>Moll, Κ.; Kunze, Σ.; Neuhoff, Ν.; Bruder</w:t>
      </w:r>
      <w:r w:rsidRPr="00D11C54">
        <w:rPr>
          <w:sz w:val="18"/>
          <w:lang w:val="el-GR"/>
        </w:rPr>
        <w:t xml:space="preserve">, </w:t>
      </w:r>
      <w:r>
        <w:rPr>
          <w:sz w:val="18"/>
        </w:rPr>
        <w:t>J</w:t>
      </w:r>
      <w:r w:rsidRPr="00D11C54">
        <w:rPr>
          <w:sz w:val="18"/>
          <w:lang w:val="el-GR"/>
        </w:rPr>
        <w:t xml:space="preserve">.; </w:t>
      </w:r>
      <w:r>
        <w:rPr>
          <w:sz w:val="18"/>
        </w:rPr>
        <w:t>Schulte</w:t>
      </w:r>
      <w:r w:rsidRPr="00D11C54">
        <w:rPr>
          <w:sz w:val="18"/>
          <w:lang w:val="el-GR"/>
        </w:rPr>
        <w:t>-</w:t>
      </w:r>
      <w:r>
        <w:rPr>
          <w:sz w:val="18"/>
        </w:rPr>
        <w:t>Korne</w:t>
      </w:r>
      <w:r w:rsidRPr="00D11C54">
        <w:rPr>
          <w:sz w:val="18"/>
          <w:lang w:val="el-GR"/>
        </w:rPr>
        <w:t xml:space="preserve">, </w:t>
      </w:r>
      <w:r>
        <w:rPr>
          <w:sz w:val="18"/>
        </w:rPr>
        <w:t>G</w:t>
      </w:r>
      <w:r w:rsidRPr="00D11C54">
        <w:rPr>
          <w:sz w:val="18"/>
          <w:lang w:val="el-GR"/>
        </w:rPr>
        <w:t xml:space="preserve">. Ειδική μαθησιακή διαταραχή: Επιπολασμός και διαφορές φύλου. </w:t>
      </w:r>
      <w:r>
        <w:rPr>
          <w:rFonts w:ascii="Palatino Linotype"/>
          <w:i/>
          <w:sz w:val="18"/>
        </w:rPr>
        <w:t>PLoS</w:t>
      </w:r>
      <w:r w:rsidRPr="00D11C54">
        <w:rPr>
          <w:rFonts w:ascii="Palatino Linotype"/>
          <w:i/>
          <w:sz w:val="18"/>
          <w:lang w:val="el-GR"/>
        </w:rPr>
        <w:t xml:space="preserve"> </w:t>
      </w:r>
      <w:r>
        <w:rPr>
          <w:rFonts w:ascii="Palatino Linotype"/>
          <w:i/>
          <w:sz w:val="18"/>
        </w:rPr>
        <w:t>ONE</w:t>
      </w:r>
      <w:r w:rsidRPr="00D11C54">
        <w:rPr>
          <w:rFonts w:ascii="Palatino Linotype"/>
          <w:i/>
          <w:sz w:val="18"/>
          <w:lang w:val="el-GR"/>
        </w:rPr>
        <w:t xml:space="preserve"> </w:t>
      </w:r>
      <w:bookmarkStart w:id="29" w:name="_bookmark13"/>
      <w:bookmarkEnd w:id="29"/>
      <w:r w:rsidRPr="00D11C54">
        <w:rPr>
          <w:b/>
          <w:sz w:val="18"/>
          <w:lang w:val="el-GR"/>
        </w:rPr>
        <w:t xml:space="preserve">2014, </w:t>
      </w:r>
      <w:r w:rsidRPr="00D11C54">
        <w:rPr>
          <w:sz w:val="18"/>
          <w:lang w:val="el-GR"/>
        </w:rPr>
        <w:t>9</w:t>
      </w:r>
      <w:r w:rsidRPr="00D11C54">
        <w:rPr>
          <w:rFonts w:ascii="Palatino Linotype"/>
          <w:i/>
          <w:sz w:val="18"/>
          <w:lang w:val="el-GR"/>
        </w:rPr>
        <w:t xml:space="preserve">, </w:t>
      </w:r>
      <w:r>
        <w:rPr>
          <w:rFonts w:ascii="Palatino Linotype"/>
          <w:i/>
          <w:sz w:val="18"/>
        </w:rPr>
        <w:t>e</w:t>
      </w:r>
      <w:r w:rsidRPr="00D11C54">
        <w:rPr>
          <w:rFonts w:ascii="Palatino Linotype"/>
          <w:i/>
          <w:sz w:val="18"/>
          <w:lang w:val="el-GR"/>
        </w:rPr>
        <w:t>103537.</w:t>
      </w:r>
      <w:r w:rsidRPr="00D11C54">
        <w:rPr>
          <w:sz w:val="18"/>
          <w:lang w:val="el-GR"/>
        </w:rPr>
        <w:t xml:space="preserve"> </w:t>
      </w:r>
    </w:p>
    <w:p w14:paraId="72902817" w14:textId="77777777" w:rsidR="00F5166D" w:rsidRPr="00D11C54" w:rsidRDefault="00623797">
      <w:pPr>
        <w:pStyle w:val="a5"/>
        <w:numPr>
          <w:ilvl w:val="0"/>
          <w:numId w:val="1"/>
        </w:numPr>
        <w:tabs>
          <w:tab w:val="left" w:pos="544"/>
          <w:tab w:val="left" w:pos="545"/>
        </w:tabs>
        <w:spacing w:line="226" w:lineRule="exact"/>
        <w:rPr>
          <w:rFonts w:ascii="Palatino Linotype"/>
          <w:i/>
          <w:sz w:val="18"/>
          <w:lang w:val="el-GR"/>
        </w:rPr>
      </w:pPr>
      <w:r>
        <w:rPr>
          <w:sz w:val="18"/>
        </w:rPr>
        <w:t>Schuchardt</w:t>
      </w:r>
      <w:r w:rsidRPr="00D11C54">
        <w:rPr>
          <w:sz w:val="18"/>
          <w:lang w:val="el-GR"/>
        </w:rPr>
        <w:t xml:space="preserve">, Κ.; </w:t>
      </w:r>
      <w:r>
        <w:rPr>
          <w:sz w:val="18"/>
        </w:rPr>
        <w:t>Maehler</w:t>
      </w:r>
      <w:r w:rsidRPr="00D11C54">
        <w:rPr>
          <w:sz w:val="18"/>
          <w:lang w:val="el-GR"/>
        </w:rPr>
        <w:t xml:space="preserve">, Γ.; </w:t>
      </w:r>
      <w:r>
        <w:rPr>
          <w:sz w:val="18"/>
        </w:rPr>
        <w:t>Hasselhorn</w:t>
      </w:r>
      <w:r w:rsidRPr="00D11C54">
        <w:rPr>
          <w:sz w:val="18"/>
          <w:lang w:val="el-GR"/>
        </w:rPr>
        <w:t xml:space="preserve">, </w:t>
      </w:r>
      <w:r>
        <w:rPr>
          <w:sz w:val="18"/>
        </w:rPr>
        <w:t>M</w:t>
      </w:r>
      <w:r w:rsidRPr="00D11C54">
        <w:rPr>
          <w:sz w:val="18"/>
          <w:lang w:val="el-GR"/>
        </w:rPr>
        <w:t xml:space="preserve">. Ελλείμματα μνήμης εργασίας σε παιδιά με συγκεκριμένες μαθησιακές διαταραχές. </w:t>
      </w:r>
      <w:r>
        <w:rPr>
          <w:rFonts w:ascii="Palatino Linotype"/>
          <w:i/>
          <w:sz w:val="18"/>
        </w:rPr>
        <w:t>J</w:t>
      </w:r>
      <w:r w:rsidRPr="00D11C54">
        <w:rPr>
          <w:rFonts w:ascii="Palatino Linotype"/>
          <w:i/>
          <w:sz w:val="18"/>
          <w:lang w:val="el-GR"/>
        </w:rPr>
        <w:t xml:space="preserve">. </w:t>
      </w:r>
      <w:r w:rsidRPr="00D11C54">
        <w:rPr>
          <w:rFonts w:ascii="Palatino Linotype"/>
          <w:i/>
          <w:sz w:val="18"/>
          <w:lang w:val="el-GR"/>
        </w:rPr>
        <w:t>Μάθετε</w:t>
      </w:r>
      <w:r w:rsidRPr="00D11C54">
        <w:rPr>
          <w:rFonts w:ascii="Palatino Linotype"/>
          <w:i/>
          <w:sz w:val="18"/>
          <w:lang w:val="el-GR"/>
        </w:rPr>
        <w:t xml:space="preserve">. </w:t>
      </w:r>
      <w:r w:rsidRPr="00D11C54">
        <w:rPr>
          <w:rFonts w:ascii="Palatino Linotype"/>
          <w:i/>
          <w:sz w:val="18"/>
          <w:lang w:val="el-GR"/>
        </w:rPr>
        <w:t>Ντισαμπίλ</w:t>
      </w:r>
      <w:r w:rsidRPr="00D11C54">
        <w:rPr>
          <w:rFonts w:ascii="Palatino Linotype"/>
          <w:i/>
          <w:sz w:val="18"/>
          <w:lang w:val="el-GR"/>
        </w:rPr>
        <w:t>.</w:t>
      </w:r>
    </w:p>
    <w:p w14:paraId="1F5EF9E3" w14:textId="77777777" w:rsidR="00F5166D" w:rsidRDefault="00623797">
      <w:pPr>
        <w:spacing w:line="236" w:lineRule="exact"/>
        <w:ind w:left="544"/>
        <w:rPr>
          <w:sz w:val="18"/>
        </w:rPr>
      </w:pPr>
      <w:bookmarkStart w:id="30" w:name="_bookmark14"/>
      <w:bookmarkEnd w:id="30"/>
      <w:r>
        <w:rPr>
          <w:b/>
          <w:sz w:val="18"/>
        </w:rPr>
        <w:t>2008</w:t>
      </w:r>
      <w:r>
        <w:rPr>
          <w:sz w:val="18"/>
        </w:rPr>
        <w:t xml:space="preserve">, </w:t>
      </w:r>
      <w:r>
        <w:rPr>
          <w:rFonts w:ascii="Palatino Linotype" w:hAnsi="Palatino Linotype"/>
          <w:i/>
          <w:sz w:val="18"/>
        </w:rPr>
        <w:t>41</w:t>
      </w:r>
      <w:r>
        <w:rPr>
          <w:sz w:val="18"/>
        </w:rPr>
        <w:t>, 514–523. [</w:t>
      </w:r>
      <w:hyperlink r:id="rId34">
        <w:r>
          <w:rPr>
            <w:color w:val="0774B7"/>
            <w:sz w:val="18"/>
          </w:rPr>
          <w:t>CrossRef</w:t>
        </w:r>
      </w:hyperlink>
      <w:r>
        <w:rPr>
          <w:sz w:val="18"/>
        </w:rPr>
        <w:t>] [</w:t>
      </w:r>
      <w:hyperlink r:id="rId35">
        <w:r>
          <w:rPr>
            <w:color w:val="0774B7"/>
            <w:sz w:val="18"/>
          </w:rPr>
          <w:t>PubMed</w:t>
        </w:r>
      </w:hyperlink>
      <w:r>
        <w:rPr>
          <w:sz w:val="18"/>
        </w:rPr>
        <w:t>]</w:t>
      </w:r>
    </w:p>
    <w:p w14:paraId="19A532F0" w14:textId="77777777" w:rsidR="00F5166D" w:rsidRPr="00D11C54" w:rsidRDefault="00623797">
      <w:pPr>
        <w:pStyle w:val="a5"/>
        <w:numPr>
          <w:ilvl w:val="0"/>
          <w:numId w:val="1"/>
        </w:numPr>
        <w:tabs>
          <w:tab w:val="left" w:pos="544"/>
          <w:tab w:val="left" w:pos="545"/>
        </w:tabs>
        <w:spacing w:before="5" w:line="261" w:lineRule="auto"/>
        <w:ind w:right="106"/>
        <w:rPr>
          <w:sz w:val="18"/>
          <w:lang w:val="el-GR"/>
        </w:rPr>
      </w:pPr>
      <w:r w:rsidRPr="00D11C54">
        <w:rPr>
          <w:w w:val="105"/>
          <w:sz w:val="18"/>
          <w:lang w:val="el-GR"/>
        </w:rPr>
        <w:t xml:space="preserve">Παγκόσμιος Οργανισμός Υγείας. </w:t>
      </w:r>
      <w:r>
        <w:rPr>
          <w:w w:val="105"/>
          <w:sz w:val="18"/>
        </w:rPr>
        <w:t>ICD</w:t>
      </w:r>
      <w:r w:rsidRPr="00D11C54">
        <w:rPr>
          <w:w w:val="105"/>
          <w:sz w:val="18"/>
          <w:lang w:val="el-GR"/>
        </w:rPr>
        <w:t xml:space="preserve">-11: Διεθνής ταξινόμηση ασθενειών (11η αναθεώρηση). Διαθέσιμο στο διαδίκτυο: </w:t>
      </w:r>
      <w:hyperlink r:id="rId36">
        <w:r>
          <w:rPr>
            <w:color w:val="0774B7"/>
            <w:w w:val="105"/>
            <w:sz w:val="18"/>
          </w:rPr>
          <w:t>https</w:t>
        </w:r>
        <w:r w:rsidRPr="00D11C54">
          <w:rPr>
            <w:color w:val="0774B7"/>
            <w:w w:val="105"/>
            <w:sz w:val="18"/>
            <w:lang w:val="el-GR"/>
          </w:rPr>
          <w:t>://</w:t>
        </w:r>
        <w:r>
          <w:rPr>
            <w:color w:val="0774B7"/>
            <w:w w:val="105"/>
            <w:sz w:val="18"/>
          </w:rPr>
          <w:t>icd</w:t>
        </w:r>
        <w:r w:rsidRPr="00D11C54">
          <w:rPr>
            <w:color w:val="0774B7"/>
            <w:w w:val="105"/>
            <w:sz w:val="18"/>
            <w:lang w:val="el-GR"/>
          </w:rPr>
          <w:t>.</w:t>
        </w:r>
        <w:r>
          <w:rPr>
            <w:color w:val="0774B7"/>
            <w:w w:val="105"/>
            <w:sz w:val="18"/>
          </w:rPr>
          <w:t>who</w:t>
        </w:r>
        <w:r w:rsidRPr="00D11C54">
          <w:rPr>
            <w:color w:val="0774B7"/>
            <w:w w:val="105"/>
            <w:sz w:val="18"/>
            <w:lang w:val="el-GR"/>
          </w:rPr>
          <w:t>.</w:t>
        </w:r>
      </w:hyperlink>
      <w:r w:rsidRPr="00D11C54">
        <w:rPr>
          <w:color w:val="0774B7"/>
          <w:spacing w:val="-39"/>
          <w:w w:val="105"/>
          <w:sz w:val="18"/>
          <w:lang w:val="el-GR"/>
        </w:rPr>
        <w:t xml:space="preserve"> </w:t>
      </w:r>
      <w:hyperlink r:id="rId37">
        <w:bookmarkStart w:id="31" w:name="_bookmark15"/>
        <w:bookmarkEnd w:id="31"/>
        <w:r>
          <w:rPr>
            <w:color w:val="0774B7"/>
            <w:w w:val="105"/>
            <w:sz w:val="18"/>
          </w:rPr>
          <w:t>int</w:t>
        </w:r>
        <w:r w:rsidRPr="00D11C54">
          <w:rPr>
            <w:color w:val="0774B7"/>
            <w:w w:val="105"/>
            <w:sz w:val="18"/>
            <w:lang w:val="el-GR"/>
          </w:rPr>
          <w:t xml:space="preserve">/ </w:t>
        </w:r>
      </w:hyperlink>
      <w:r w:rsidRPr="00D11C54">
        <w:rPr>
          <w:w w:val="105"/>
          <w:sz w:val="18"/>
          <w:lang w:val="el-GR"/>
        </w:rPr>
        <w:t>(πρόσβαση στις 16 Απριλίου 2022).</w:t>
      </w:r>
    </w:p>
    <w:p w14:paraId="719FE0E0" w14:textId="77777777" w:rsidR="00F5166D" w:rsidRDefault="00623797">
      <w:pPr>
        <w:pStyle w:val="a5"/>
        <w:numPr>
          <w:ilvl w:val="0"/>
          <w:numId w:val="1"/>
        </w:numPr>
        <w:tabs>
          <w:tab w:val="left" w:pos="544"/>
          <w:tab w:val="left" w:pos="545"/>
        </w:tabs>
        <w:spacing w:line="219" w:lineRule="exact"/>
        <w:rPr>
          <w:sz w:val="18"/>
        </w:rPr>
      </w:pPr>
      <w:bookmarkStart w:id="32" w:name="_bookmark16"/>
      <w:bookmarkEnd w:id="32"/>
      <w:r>
        <w:rPr>
          <w:sz w:val="18"/>
        </w:rPr>
        <w:t xml:space="preserve">Vio, Γ.; Tressoldi, Π.Ε.; Lo Presti, Γ. </w:t>
      </w:r>
      <w:r>
        <w:rPr>
          <w:rFonts w:ascii="Palatino Linotype" w:hAnsi="Palatino Linotype"/>
          <w:i/>
          <w:sz w:val="18"/>
        </w:rPr>
        <w:t>Diagnosi dei Disturbi Specifici Dell'apprendimento Scolastico</w:t>
      </w:r>
      <w:r>
        <w:rPr>
          <w:sz w:val="18"/>
        </w:rPr>
        <w:t>; Edizioni Erickson: Trento, Ιταλία, 2012.</w:t>
      </w:r>
    </w:p>
    <w:p w14:paraId="1D82DA5A" w14:textId="77777777" w:rsidR="00F5166D" w:rsidRPr="00D11C54" w:rsidRDefault="00623797">
      <w:pPr>
        <w:pStyle w:val="a5"/>
        <w:numPr>
          <w:ilvl w:val="0"/>
          <w:numId w:val="1"/>
        </w:numPr>
        <w:tabs>
          <w:tab w:val="left" w:pos="544"/>
          <w:tab w:val="left" w:pos="545"/>
        </w:tabs>
        <w:spacing w:line="230" w:lineRule="exact"/>
        <w:rPr>
          <w:rFonts w:ascii="Palatino Linotype"/>
          <w:i/>
          <w:sz w:val="18"/>
          <w:lang w:val="el-GR"/>
        </w:rPr>
      </w:pPr>
      <w:r>
        <w:rPr>
          <w:sz w:val="18"/>
        </w:rPr>
        <w:t>Elbaum</w:t>
      </w:r>
      <w:r w:rsidRPr="00D11C54">
        <w:rPr>
          <w:sz w:val="18"/>
          <w:lang w:val="el-GR"/>
        </w:rPr>
        <w:t xml:space="preserve">, Β.; </w:t>
      </w:r>
      <w:r>
        <w:rPr>
          <w:sz w:val="18"/>
        </w:rPr>
        <w:t>Vaughn</w:t>
      </w:r>
      <w:r w:rsidRPr="00D11C54">
        <w:rPr>
          <w:sz w:val="18"/>
          <w:lang w:val="el-GR"/>
        </w:rPr>
        <w:t xml:space="preserve">, Σ. Για ποιους μαθητές με μαθησιακές δυσκολίες είναι αποτελεσματικές οι παρεμβάσεις αυτο-ιδέας; </w:t>
      </w:r>
      <w:r>
        <w:rPr>
          <w:rFonts w:ascii="Palatino Linotype"/>
          <w:i/>
          <w:sz w:val="18"/>
        </w:rPr>
        <w:t>J</w:t>
      </w:r>
      <w:r w:rsidRPr="00D11C54">
        <w:rPr>
          <w:rFonts w:ascii="Palatino Linotype"/>
          <w:i/>
          <w:sz w:val="18"/>
          <w:lang w:val="el-GR"/>
        </w:rPr>
        <w:t xml:space="preserve">. </w:t>
      </w:r>
      <w:r w:rsidRPr="00D11C54">
        <w:rPr>
          <w:rFonts w:ascii="Palatino Linotype"/>
          <w:i/>
          <w:sz w:val="18"/>
          <w:lang w:val="el-GR"/>
        </w:rPr>
        <w:t>Μάθετε</w:t>
      </w:r>
      <w:r w:rsidRPr="00D11C54">
        <w:rPr>
          <w:rFonts w:ascii="Palatino Linotype"/>
          <w:i/>
          <w:sz w:val="18"/>
          <w:lang w:val="el-GR"/>
        </w:rPr>
        <w:t xml:space="preserve">. </w:t>
      </w:r>
      <w:r w:rsidRPr="00D11C54">
        <w:rPr>
          <w:rFonts w:ascii="Palatino Linotype"/>
          <w:i/>
          <w:sz w:val="18"/>
          <w:lang w:val="el-GR"/>
        </w:rPr>
        <w:t>Ντισαμπίλ</w:t>
      </w:r>
      <w:r w:rsidRPr="00D11C54">
        <w:rPr>
          <w:rFonts w:ascii="Palatino Linotype"/>
          <w:i/>
          <w:sz w:val="18"/>
          <w:lang w:val="el-GR"/>
        </w:rPr>
        <w:t>.</w:t>
      </w:r>
    </w:p>
    <w:p w14:paraId="3FFF749B" w14:textId="77777777" w:rsidR="00F5166D" w:rsidRDefault="00623797">
      <w:pPr>
        <w:spacing w:line="236" w:lineRule="exact"/>
        <w:ind w:left="544"/>
        <w:rPr>
          <w:sz w:val="18"/>
        </w:rPr>
      </w:pPr>
      <w:bookmarkStart w:id="33" w:name="_bookmark17"/>
      <w:bookmarkEnd w:id="33"/>
      <w:r>
        <w:rPr>
          <w:b/>
          <w:w w:val="95"/>
          <w:sz w:val="18"/>
        </w:rPr>
        <w:t>2016</w:t>
      </w:r>
      <w:r>
        <w:rPr>
          <w:w w:val="95"/>
          <w:sz w:val="18"/>
        </w:rPr>
        <w:t xml:space="preserve">, </w:t>
      </w:r>
      <w:r>
        <w:rPr>
          <w:rFonts w:ascii="Palatino Linotype" w:hAnsi="Palatino Linotype"/>
          <w:i/>
          <w:w w:val="95"/>
          <w:sz w:val="18"/>
        </w:rPr>
        <w:t>36</w:t>
      </w:r>
      <w:r>
        <w:rPr>
          <w:w w:val="95"/>
          <w:sz w:val="18"/>
        </w:rPr>
        <w:t>, 101–108. [</w:t>
      </w:r>
      <w:hyperlink r:id="rId38">
        <w:r>
          <w:rPr>
            <w:color w:val="0774B7"/>
            <w:w w:val="95"/>
            <w:sz w:val="18"/>
          </w:rPr>
          <w:t>CrossRef</w:t>
        </w:r>
      </w:hyperlink>
      <w:r>
        <w:rPr>
          <w:w w:val="95"/>
          <w:sz w:val="18"/>
        </w:rPr>
        <w:t>]</w:t>
      </w:r>
    </w:p>
    <w:p w14:paraId="462923D8" w14:textId="77777777" w:rsidR="00F5166D" w:rsidRDefault="00623797">
      <w:pPr>
        <w:pStyle w:val="a5"/>
        <w:numPr>
          <w:ilvl w:val="0"/>
          <w:numId w:val="1"/>
        </w:numPr>
        <w:tabs>
          <w:tab w:val="left" w:pos="544"/>
          <w:tab w:val="left" w:pos="545"/>
        </w:tabs>
        <w:spacing w:before="5"/>
        <w:ind w:right="137"/>
        <w:rPr>
          <w:sz w:val="18"/>
        </w:rPr>
      </w:pPr>
      <w:r>
        <w:rPr>
          <w:w w:val="105"/>
          <w:sz w:val="18"/>
        </w:rPr>
        <w:t>Lackaye, Τ.; Margalit, Μ.; Ziv, Ο.; Ziman</w:t>
      </w:r>
      <w:r w:rsidRPr="00D11C54">
        <w:rPr>
          <w:w w:val="105"/>
          <w:sz w:val="18"/>
          <w:lang w:val="el-GR"/>
        </w:rPr>
        <w:t xml:space="preserve">, </w:t>
      </w:r>
      <w:r>
        <w:rPr>
          <w:w w:val="105"/>
          <w:sz w:val="18"/>
        </w:rPr>
        <w:t>T</w:t>
      </w:r>
      <w:r w:rsidRPr="00D11C54">
        <w:rPr>
          <w:w w:val="105"/>
          <w:sz w:val="18"/>
          <w:lang w:val="el-GR"/>
        </w:rPr>
        <w:t xml:space="preserve">. Συγκρίσεις της αυτο-αποτελεσματικότητας, της διάθεσης, της προσπάθειας και της ελπίδας μεταξύ των μαθητών με μαθησιακές δυσκολίες και των συνομηλίκων τους που δεν ταιριάζουν με την </w:t>
      </w:r>
      <w:r>
        <w:rPr>
          <w:w w:val="105"/>
          <w:sz w:val="18"/>
        </w:rPr>
        <w:t>LD</w:t>
      </w:r>
      <w:r w:rsidRPr="00D11C54">
        <w:rPr>
          <w:w w:val="105"/>
          <w:sz w:val="18"/>
          <w:lang w:val="el-GR"/>
        </w:rPr>
        <w:t xml:space="preserve">. </w:t>
      </w:r>
      <w:bookmarkStart w:id="34" w:name="_bookmark18"/>
      <w:bookmarkEnd w:id="34"/>
      <w:r>
        <w:rPr>
          <w:rFonts w:ascii="Palatino Linotype" w:hAnsi="Palatino Linotype"/>
          <w:i/>
          <w:w w:val="105"/>
          <w:sz w:val="18"/>
        </w:rPr>
        <w:t xml:space="preserve">Μαθαίνω. Ντισαμπίλ. Res. Pract. </w:t>
      </w:r>
      <w:r>
        <w:rPr>
          <w:b/>
          <w:w w:val="105"/>
          <w:sz w:val="18"/>
        </w:rPr>
        <w:t xml:space="preserve">2006, </w:t>
      </w:r>
      <w:r>
        <w:rPr>
          <w:w w:val="105"/>
          <w:sz w:val="18"/>
        </w:rPr>
        <w:t>21</w:t>
      </w:r>
      <w:r>
        <w:rPr>
          <w:rFonts w:ascii="Palatino Linotype" w:hAnsi="Palatino Linotype"/>
          <w:i/>
          <w:w w:val="105"/>
          <w:sz w:val="18"/>
        </w:rPr>
        <w:t xml:space="preserve">, </w:t>
      </w:r>
      <w:r>
        <w:rPr>
          <w:w w:val="105"/>
          <w:sz w:val="18"/>
        </w:rPr>
        <w:t>111–121. [</w:t>
      </w:r>
      <w:hyperlink r:id="rId39">
        <w:r>
          <w:rPr>
            <w:color w:val="0774B7"/>
            <w:w w:val="105"/>
            <w:sz w:val="18"/>
          </w:rPr>
          <w:t>CrossRef</w:t>
        </w:r>
      </w:hyperlink>
      <w:r>
        <w:rPr>
          <w:w w:val="105"/>
          <w:sz w:val="18"/>
        </w:rPr>
        <w:t>]</w:t>
      </w:r>
    </w:p>
    <w:p w14:paraId="3350DE86" w14:textId="77777777" w:rsidR="00F5166D" w:rsidRDefault="00623797">
      <w:pPr>
        <w:pStyle w:val="a5"/>
        <w:numPr>
          <w:ilvl w:val="0"/>
          <w:numId w:val="1"/>
        </w:numPr>
        <w:tabs>
          <w:tab w:val="left" w:pos="544"/>
          <w:tab w:val="left" w:pos="545"/>
        </w:tabs>
        <w:spacing w:line="231" w:lineRule="exact"/>
        <w:rPr>
          <w:sz w:val="18"/>
        </w:rPr>
      </w:pPr>
      <w:r>
        <w:rPr>
          <w:sz w:val="18"/>
        </w:rPr>
        <w:t>Wiener</w:t>
      </w:r>
      <w:r w:rsidRPr="00D11C54">
        <w:rPr>
          <w:sz w:val="18"/>
          <w:lang w:val="el-GR"/>
        </w:rPr>
        <w:t xml:space="preserve">, Τζ. Οι σχέσεις με τους συνομηλίκους προωθούν την προσαρμογή της συμπεριφοράς σε παιδιά με μαθησιακές δυσκολίες; </w:t>
      </w:r>
      <w:r>
        <w:rPr>
          <w:rFonts w:ascii="Palatino Linotype"/>
          <w:i/>
          <w:sz w:val="18"/>
        </w:rPr>
        <w:t>Μαθαίνω</w:t>
      </w:r>
      <w:r>
        <w:rPr>
          <w:rFonts w:ascii="Palatino Linotype"/>
          <w:i/>
          <w:sz w:val="18"/>
        </w:rPr>
        <w:t xml:space="preserve">. </w:t>
      </w:r>
      <w:r>
        <w:rPr>
          <w:rFonts w:ascii="Palatino Linotype"/>
          <w:i/>
          <w:sz w:val="18"/>
        </w:rPr>
        <w:t>Ντισαμπίλ</w:t>
      </w:r>
      <w:r>
        <w:rPr>
          <w:rFonts w:ascii="Palatino Linotype"/>
          <w:i/>
          <w:sz w:val="18"/>
        </w:rPr>
        <w:t xml:space="preserve">. </w:t>
      </w:r>
      <w:r>
        <w:rPr>
          <w:rFonts w:ascii="Palatino Linotype"/>
          <w:i/>
          <w:sz w:val="18"/>
        </w:rPr>
        <w:t>Ερ</w:t>
      </w:r>
      <w:r>
        <w:rPr>
          <w:rFonts w:ascii="Palatino Linotype"/>
          <w:i/>
          <w:sz w:val="18"/>
        </w:rPr>
        <w:t xml:space="preserve">. </w:t>
      </w:r>
      <w:r>
        <w:rPr>
          <w:b/>
          <w:sz w:val="18"/>
        </w:rPr>
        <w:t>2004</w:t>
      </w:r>
      <w:r>
        <w:rPr>
          <w:sz w:val="18"/>
        </w:rPr>
        <w:t xml:space="preserve">, </w:t>
      </w:r>
      <w:r>
        <w:rPr>
          <w:rFonts w:ascii="Palatino Linotype"/>
          <w:i/>
          <w:sz w:val="18"/>
        </w:rPr>
        <w:t>27</w:t>
      </w:r>
      <w:r>
        <w:rPr>
          <w:sz w:val="18"/>
        </w:rPr>
        <w:t>,</w:t>
      </w:r>
    </w:p>
    <w:p w14:paraId="40759857" w14:textId="77777777" w:rsidR="00F5166D" w:rsidRDefault="00623797">
      <w:pPr>
        <w:spacing w:before="5"/>
        <w:ind w:left="544"/>
        <w:rPr>
          <w:sz w:val="18"/>
        </w:rPr>
      </w:pPr>
      <w:bookmarkStart w:id="35" w:name="_bookmark19"/>
      <w:bookmarkEnd w:id="35"/>
      <w:r>
        <w:rPr>
          <w:sz w:val="18"/>
        </w:rPr>
        <w:t>21–30. [</w:t>
      </w:r>
      <w:hyperlink r:id="rId40">
        <w:r>
          <w:rPr>
            <w:color w:val="0774B7"/>
            <w:sz w:val="18"/>
          </w:rPr>
          <w:t>CrossRef</w:t>
        </w:r>
      </w:hyperlink>
      <w:r>
        <w:rPr>
          <w:sz w:val="18"/>
        </w:rPr>
        <w:t>]</w:t>
      </w:r>
    </w:p>
    <w:p w14:paraId="7A621D64" w14:textId="77777777" w:rsidR="00F5166D" w:rsidRDefault="00623797">
      <w:pPr>
        <w:pStyle w:val="a5"/>
        <w:numPr>
          <w:ilvl w:val="0"/>
          <w:numId w:val="1"/>
        </w:numPr>
        <w:tabs>
          <w:tab w:val="left" w:pos="545"/>
        </w:tabs>
        <w:spacing w:before="19"/>
        <w:ind w:right="137"/>
        <w:jc w:val="both"/>
        <w:rPr>
          <w:sz w:val="18"/>
        </w:rPr>
      </w:pPr>
      <w:r>
        <w:rPr>
          <w:w w:val="105"/>
          <w:sz w:val="18"/>
        </w:rPr>
        <w:t>Dombrowski</w:t>
      </w:r>
      <w:r w:rsidRPr="00D11C54">
        <w:rPr>
          <w:w w:val="105"/>
          <w:sz w:val="18"/>
          <w:lang w:val="el-GR"/>
        </w:rPr>
        <w:t xml:space="preserve">, </w:t>
      </w:r>
      <w:r>
        <w:rPr>
          <w:w w:val="105"/>
          <w:sz w:val="18"/>
        </w:rPr>
        <w:t>S</w:t>
      </w:r>
      <w:r w:rsidRPr="00D11C54">
        <w:rPr>
          <w:w w:val="105"/>
          <w:sz w:val="18"/>
          <w:lang w:val="el-GR"/>
        </w:rPr>
        <w:t>.</w:t>
      </w:r>
      <w:r>
        <w:rPr>
          <w:w w:val="105"/>
          <w:sz w:val="18"/>
        </w:rPr>
        <w:t>C</w:t>
      </w:r>
      <w:r w:rsidRPr="00D11C54">
        <w:rPr>
          <w:w w:val="105"/>
          <w:sz w:val="18"/>
          <w:lang w:val="el-GR"/>
        </w:rPr>
        <w:t xml:space="preserve">.; </w:t>
      </w:r>
      <w:r>
        <w:rPr>
          <w:w w:val="105"/>
          <w:sz w:val="18"/>
        </w:rPr>
        <w:t>Kamphaus</w:t>
      </w:r>
      <w:r w:rsidRPr="00D11C54">
        <w:rPr>
          <w:w w:val="105"/>
          <w:sz w:val="18"/>
          <w:lang w:val="el-GR"/>
        </w:rPr>
        <w:t xml:space="preserve">, </w:t>
      </w:r>
      <w:r>
        <w:rPr>
          <w:w w:val="105"/>
          <w:sz w:val="18"/>
        </w:rPr>
        <w:t>R</w:t>
      </w:r>
      <w:r w:rsidRPr="00D11C54">
        <w:rPr>
          <w:w w:val="105"/>
          <w:sz w:val="18"/>
          <w:lang w:val="el-GR"/>
        </w:rPr>
        <w:t>.</w:t>
      </w:r>
      <w:r>
        <w:rPr>
          <w:w w:val="105"/>
          <w:sz w:val="18"/>
        </w:rPr>
        <w:t>W</w:t>
      </w:r>
      <w:r w:rsidRPr="00D11C54">
        <w:rPr>
          <w:w w:val="105"/>
          <w:sz w:val="18"/>
          <w:lang w:val="el-GR"/>
        </w:rPr>
        <w:t xml:space="preserve">.; </w:t>
      </w:r>
      <w:r>
        <w:rPr>
          <w:w w:val="105"/>
          <w:sz w:val="18"/>
        </w:rPr>
        <w:t>Reynolds</w:t>
      </w:r>
      <w:r w:rsidRPr="00D11C54">
        <w:rPr>
          <w:w w:val="105"/>
          <w:sz w:val="18"/>
          <w:lang w:val="el-GR"/>
        </w:rPr>
        <w:t xml:space="preserve">, Κ.Ρ. Μετά την εξάλειψη της ασυμφωνίας: Προτεινόμενα διαγνωστικά κριτήρια μαθησιακών δυσκολιών. </w:t>
      </w:r>
      <w:bookmarkStart w:id="36" w:name="_bookmark20"/>
      <w:bookmarkEnd w:id="36"/>
      <w:r>
        <w:rPr>
          <w:rFonts w:ascii="Palatino Linotype" w:hAnsi="Palatino Linotype"/>
          <w:i/>
          <w:w w:val="105"/>
          <w:sz w:val="18"/>
        </w:rPr>
        <w:t xml:space="preserve">Καθηγητής Psychol. Res. Pract. </w:t>
      </w:r>
      <w:r>
        <w:rPr>
          <w:b/>
          <w:w w:val="105"/>
          <w:sz w:val="18"/>
        </w:rPr>
        <w:t xml:space="preserve">2004, </w:t>
      </w:r>
      <w:r>
        <w:rPr>
          <w:w w:val="105"/>
          <w:sz w:val="18"/>
        </w:rPr>
        <w:t>35</w:t>
      </w:r>
      <w:r>
        <w:rPr>
          <w:rFonts w:ascii="Palatino Linotype" w:hAnsi="Palatino Linotype"/>
          <w:i/>
          <w:w w:val="105"/>
          <w:sz w:val="18"/>
        </w:rPr>
        <w:t xml:space="preserve">, </w:t>
      </w:r>
      <w:r>
        <w:rPr>
          <w:w w:val="105"/>
          <w:sz w:val="18"/>
        </w:rPr>
        <w:t>364–372. [</w:t>
      </w:r>
      <w:hyperlink r:id="rId41">
        <w:r>
          <w:rPr>
            <w:color w:val="0774B7"/>
            <w:w w:val="105"/>
            <w:sz w:val="18"/>
          </w:rPr>
          <w:t>CrossRef</w:t>
        </w:r>
      </w:hyperlink>
      <w:r>
        <w:rPr>
          <w:w w:val="105"/>
          <w:sz w:val="18"/>
        </w:rPr>
        <w:t>]</w:t>
      </w:r>
    </w:p>
    <w:p w14:paraId="210E72BA" w14:textId="77777777" w:rsidR="00F5166D" w:rsidRDefault="00623797">
      <w:pPr>
        <w:pStyle w:val="a5"/>
        <w:numPr>
          <w:ilvl w:val="0"/>
          <w:numId w:val="1"/>
        </w:numPr>
        <w:tabs>
          <w:tab w:val="left" w:pos="545"/>
        </w:tabs>
        <w:spacing w:before="7" w:line="242" w:lineRule="auto"/>
        <w:ind w:right="115"/>
        <w:jc w:val="both"/>
        <w:rPr>
          <w:sz w:val="18"/>
        </w:rPr>
      </w:pPr>
      <w:r>
        <w:rPr>
          <w:w w:val="105"/>
          <w:sz w:val="18"/>
        </w:rPr>
        <w:t>Cosden</w:t>
      </w:r>
      <w:r w:rsidRPr="00D11C54">
        <w:rPr>
          <w:w w:val="105"/>
          <w:sz w:val="18"/>
          <w:lang w:val="el-GR"/>
        </w:rPr>
        <w:t xml:space="preserve">, Μ.; </w:t>
      </w:r>
      <w:r>
        <w:rPr>
          <w:w w:val="105"/>
          <w:sz w:val="18"/>
        </w:rPr>
        <w:t>Brown</w:t>
      </w:r>
      <w:r w:rsidRPr="00D11C54">
        <w:rPr>
          <w:w w:val="105"/>
          <w:sz w:val="18"/>
          <w:lang w:val="el-GR"/>
        </w:rPr>
        <w:t xml:space="preserve">, Γ.; </w:t>
      </w:r>
      <w:r>
        <w:rPr>
          <w:w w:val="105"/>
          <w:sz w:val="18"/>
        </w:rPr>
        <w:t>Elliott</w:t>
      </w:r>
      <w:r w:rsidRPr="00D11C54">
        <w:rPr>
          <w:w w:val="105"/>
          <w:sz w:val="18"/>
          <w:lang w:val="el-GR"/>
        </w:rPr>
        <w:t xml:space="preserve">, </w:t>
      </w:r>
      <w:r>
        <w:rPr>
          <w:w w:val="105"/>
          <w:sz w:val="18"/>
        </w:rPr>
        <w:t>K</w:t>
      </w:r>
      <w:r w:rsidRPr="00D11C54">
        <w:rPr>
          <w:w w:val="105"/>
          <w:sz w:val="18"/>
          <w:lang w:val="el-GR"/>
        </w:rPr>
        <w:t xml:space="preserve">. Ανάπτυξη της αυτογνωσίας και της αυτοεκτίμησης σε παιδιά και ενήλικες με μαθησιακές δυσκολίες. </w:t>
      </w:r>
      <w:r>
        <w:rPr>
          <w:w w:val="105"/>
          <w:sz w:val="18"/>
        </w:rPr>
        <w:t xml:space="preserve">Στο </w:t>
      </w:r>
      <w:r>
        <w:rPr>
          <w:rFonts w:ascii="Palatino Linotype" w:hAnsi="Palatino Linotype"/>
          <w:i/>
          <w:w w:val="105"/>
          <w:sz w:val="18"/>
        </w:rPr>
        <w:t>The Social Dimensions of Learning Disabilities: Essays in Honor of Tanis Bryan</w:t>
      </w:r>
      <w:r>
        <w:rPr>
          <w:w w:val="105"/>
          <w:sz w:val="18"/>
        </w:rPr>
        <w:t>; Wong, B.Y.L., Donahue, Μ.Λ., Eds.; Lawrence Erlbaum Associates Εκδότες: Mahwah, NJ, ΗΠΑ, 2002; σελίδες 33–51.</w:t>
      </w:r>
      <w:bookmarkStart w:id="37" w:name="_bookmark21"/>
      <w:bookmarkEnd w:id="37"/>
    </w:p>
    <w:p w14:paraId="4254048A" w14:textId="77777777" w:rsidR="00F5166D" w:rsidRDefault="00623797">
      <w:pPr>
        <w:pStyle w:val="a5"/>
        <w:numPr>
          <w:ilvl w:val="0"/>
          <w:numId w:val="1"/>
        </w:numPr>
        <w:tabs>
          <w:tab w:val="left" w:pos="544"/>
          <w:tab w:val="left" w:pos="545"/>
        </w:tabs>
        <w:spacing w:before="19"/>
        <w:ind w:right="130"/>
        <w:rPr>
          <w:sz w:val="18"/>
        </w:rPr>
      </w:pPr>
      <w:r>
        <w:rPr>
          <w:w w:val="105"/>
          <w:sz w:val="18"/>
        </w:rPr>
        <w:t xml:space="preserve">Vaughn, Σ.; Haager, Δ.; Hogan, Α.; </w:t>
      </w:r>
      <w:r w:rsidRPr="00D11C54">
        <w:rPr>
          <w:w w:val="105"/>
          <w:sz w:val="18"/>
          <w:lang w:val="el-GR"/>
        </w:rPr>
        <w:t xml:space="preserve">Κουζεκανάνη, Κ. Αυτο-ιδέα και αποδοχή από ομοτίμους σε μαθητές με μαθησιακές δυσκολίες: Μια προοπτική μελέτη τεσσάρων έως πέντε ετών. </w:t>
      </w:r>
      <w:bookmarkStart w:id="38" w:name="_bookmark22"/>
      <w:bookmarkEnd w:id="38"/>
      <w:r>
        <w:rPr>
          <w:rFonts w:ascii="Palatino Linotype" w:hAnsi="Palatino Linotype"/>
          <w:i/>
          <w:w w:val="105"/>
          <w:sz w:val="18"/>
        </w:rPr>
        <w:t>J</w:t>
      </w:r>
      <w:r w:rsidRPr="00D11C54">
        <w:rPr>
          <w:rFonts w:ascii="Palatino Linotype" w:hAnsi="Palatino Linotype"/>
          <w:i/>
          <w:w w:val="105"/>
          <w:sz w:val="18"/>
          <w:lang w:val="el-GR"/>
        </w:rPr>
        <w:t xml:space="preserve">. </w:t>
      </w:r>
      <w:r>
        <w:rPr>
          <w:rFonts w:ascii="Palatino Linotype" w:hAnsi="Palatino Linotype"/>
          <w:i/>
          <w:w w:val="105"/>
          <w:sz w:val="18"/>
        </w:rPr>
        <w:t>Educ</w:t>
      </w:r>
      <w:r w:rsidRPr="00D11C54">
        <w:rPr>
          <w:rFonts w:ascii="Palatino Linotype" w:hAnsi="Palatino Linotype"/>
          <w:i/>
          <w:w w:val="105"/>
          <w:sz w:val="18"/>
          <w:lang w:val="el-GR"/>
        </w:rPr>
        <w:t xml:space="preserve">. </w:t>
      </w:r>
      <w:r>
        <w:rPr>
          <w:rFonts w:ascii="Palatino Linotype" w:hAnsi="Palatino Linotype"/>
          <w:i/>
          <w:w w:val="105"/>
          <w:sz w:val="18"/>
        </w:rPr>
        <w:t xml:space="preserve">Psychol. </w:t>
      </w:r>
      <w:r>
        <w:rPr>
          <w:b/>
          <w:w w:val="105"/>
          <w:sz w:val="18"/>
        </w:rPr>
        <w:t>1992</w:t>
      </w:r>
      <w:r>
        <w:rPr>
          <w:w w:val="105"/>
          <w:sz w:val="18"/>
        </w:rPr>
        <w:t xml:space="preserve">, </w:t>
      </w:r>
      <w:r>
        <w:rPr>
          <w:rFonts w:ascii="Palatino Linotype" w:hAnsi="Palatino Linotype"/>
          <w:i/>
          <w:w w:val="105"/>
          <w:sz w:val="18"/>
        </w:rPr>
        <w:t>84</w:t>
      </w:r>
      <w:r>
        <w:rPr>
          <w:w w:val="105"/>
          <w:sz w:val="18"/>
        </w:rPr>
        <w:t>, 43–50. [</w:t>
      </w:r>
      <w:hyperlink r:id="rId42">
        <w:r>
          <w:rPr>
            <w:color w:val="0774B7"/>
            <w:w w:val="105"/>
            <w:sz w:val="18"/>
          </w:rPr>
          <w:t>CrossRef</w:t>
        </w:r>
      </w:hyperlink>
      <w:r>
        <w:rPr>
          <w:w w:val="105"/>
          <w:sz w:val="18"/>
        </w:rPr>
        <w:t>]</w:t>
      </w:r>
    </w:p>
    <w:p w14:paraId="2C3EFA1A" w14:textId="77777777" w:rsidR="00F5166D" w:rsidRDefault="00623797">
      <w:pPr>
        <w:pStyle w:val="a5"/>
        <w:numPr>
          <w:ilvl w:val="0"/>
          <w:numId w:val="1"/>
        </w:numPr>
        <w:tabs>
          <w:tab w:val="left" w:pos="544"/>
          <w:tab w:val="left" w:pos="545"/>
        </w:tabs>
        <w:spacing w:before="6"/>
        <w:ind w:right="138"/>
        <w:rPr>
          <w:sz w:val="18"/>
        </w:rPr>
      </w:pPr>
      <w:r>
        <w:rPr>
          <w:sz w:val="18"/>
        </w:rPr>
        <w:t>Karlsudd</w:t>
      </w:r>
      <w:r w:rsidRPr="00D11C54">
        <w:rPr>
          <w:sz w:val="18"/>
          <w:lang w:val="el-GR"/>
        </w:rPr>
        <w:t xml:space="preserve">, </w:t>
      </w:r>
      <w:r>
        <w:rPr>
          <w:sz w:val="18"/>
        </w:rPr>
        <w:t>P</w:t>
      </w:r>
      <w:r w:rsidRPr="00D11C54">
        <w:rPr>
          <w:sz w:val="18"/>
          <w:lang w:val="el-GR"/>
        </w:rPr>
        <w:t xml:space="preserve">. Αναζητώντας ειδική εκπαίδευση στο σουηδικό πρόγραμμα αναψυχής μετά το σχολείο: κατασκευή και δοκιμή ενός μοντέλου ανάλυσης. </w:t>
      </w:r>
      <w:bookmarkStart w:id="39" w:name="_bookmark23"/>
      <w:bookmarkEnd w:id="39"/>
      <w:r>
        <w:rPr>
          <w:rFonts w:ascii="Palatino Linotype"/>
          <w:i/>
          <w:sz w:val="18"/>
        </w:rPr>
        <w:t xml:space="preserve">Educ. Sci. </w:t>
      </w:r>
      <w:r>
        <w:rPr>
          <w:b/>
          <w:sz w:val="18"/>
        </w:rPr>
        <w:t>2020</w:t>
      </w:r>
      <w:r>
        <w:rPr>
          <w:sz w:val="18"/>
        </w:rPr>
        <w:t xml:space="preserve">, </w:t>
      </w:r>
      <w:r>
        <w:rPr>
          <w:rFonts w:ascii="Palatino Linotype"/>
          <w:i/>
          <w:sz w:val="18"/>
        </w:rPr>
        <w:t>10</w:t>
      </w:r>
      <w:r>
        <w:rPr>
          <w:sz w:val="18"/>
        </w:rPr>
        <w:t>, 359. [</w:t>
      </w:r>
      <w:hyperlink r:id="rId43">
        <w:r>
          <w:rPr>
            <w:color w:val="0774B7"/>
            <w:sz w:val="18"/>
          </w:rPr>
          <w:t>CrossRef</w:t>
        </w:r>
      </w:hyperlink>
      <w:r>
        <w:rPr>
          <w:sz w:val="18"/>
        </w:rPr>
        <w:t>]</w:t>
      </w:r>
    </w:p>
    <w:p w14:paraId="070D745E" w14:textId="77777777" w:rsidR="00F5166D" w:rsidRDefault="00623797">
      <w:pPr>
        <w:pStyle w:val="a5"/>
        <w:numPr>
          <w:ilvl w:val="0"/>
          <w:numId w:val="1"/>
        </w:numPr>
        <w:tabs>
          <w:tab w:val="left" w:pos="544"/>
          <w:tab w:val="left" w:pos="545"/>
        </w:tabs>
        <w:spacing w:before="7"/>
        <w:ind w:right="137"/>
        <w:rPr>
          <w:sz w:val="18"/>
        </w:rPr>
      </w:pPr>
      <w:r>
        <w:rPr>
          <w:w w:val="105"/>
          <w:sz w:val="18"/>
        </w:rPr>
        <w:t>Reis</w:t>
      </w:r>
      <w:r w:rsidRPr="00D11C54">
        <w:rPr>
          <w:w w:val="105"/>
          <w:sz w:val="18"/>
          <w:lang w:val="el-GR"/>
        </w:rPr>
        <w:t xml:space="preserve">, </w:t>
      </w:r>
      <w:r>
        <w:rPr>
          <w:w w:val="105"/>
          <w:sz w:val="18"/>
        </w:rPr>
        <w:t>S</w:t>
      </w:r>
      <w:r w:rsidRPr="00D11C54">
        <w:rPr>
          <w:w w:val="105"/>
          <w:sz w:val="18"/>
          <w:lang w:val="el-GR"/>
        </w:rPr>
        <w:t>.</w:t>
      </w:r>
      <w:r>
        <w:rPr>
          <w:w w:val="105"/>
          <w:sz w:val="18"/>
        </w:rPr>
        <w:t>M</w:t>
      </w:r>
      <w:r w:rsidRPr="00D11C54">
        <w:rPr>
          <w:w w:val="105"/>
          <w:sz w:val="18"/>
          <w:lang w:val="el-GR"/>
        </w:rPr>
        <w:t xml:space="preserve">.; </w:t>
      </w:r>
      <w:r>
        <w:rPr>
          <w:w w:val="105"/>
          <w:sz w:val="18"/>
        </w:rPr>
        <w:t>McGuire</w:t>
      </w:r>
      <w:r w:rsidRPr="00D11C54">
        <w:rPr>
          <w:w w:val="105"/>
          <w:sz w:val="18"/>
          <w:lang w:val="el-GR"/>
        </w:rPr>
        <w:t xml:space="preserve">, </w:t>
      </w:r>
      <w:r>
        <w:rPr>
          <w:w w:val="105"/>
          <w:sz w:val="18"/>
        </w:rPr>
        <w:t>J</w:t>
      </w:r>
      <w:r w:rsidRPr="00D11C54">
        <w:rPr>
          <w:w w:val="105"/>
          <w:sz w:val="18"/>
          <w:lang w:val="el-GR"/>
        </w:rPr>
        <w:t>.</w:t>
      </w:r>
      <w:r>
        <w:rPr>
          <w:w w:val="105"/>
          <w:sz w:val="18"/>
        </w:rPr>
        <w:t>M</w:t>
      </w:r>
      <w:r w:rsidRPr="00D11C54">
        <w:rPr>
          <w:w w:val="105"/>
          <w:sz w:val="18"/>
          <w:lang w:val="el-GR"/>
        </w:rPr>
        <w:t xml:space="preserve">.; </w:t>
      </w:r>
      <w:r>
        <w:rPr>
          <w:w w:val="105"/>
          <w:sz w:val="18"/>
        </w:rPr>
        <w:t>Neu</w:t>
      </w:r>
      <w:r w:rsidRPr="00D11C54">
        <w:rPr>
          <w:w w:val="105"/>
          <w:sz w:val="18"/>
          <w:lang w:val="el-GR"/>
        </w:rPr>
        <w:t xml:space="preserve">, </w:t>
      </w:r>
      <w:r>
        <w:rPr>
          <w:w w:val="105"/>
          <w:sz w:val="18"/>
        </w:rPr>
        <w:t>T</w:t>
      </w:r>
      <w:r w:rsidRPr="00D11C54">
        <w:rPr>
          <w:w w:val="105"/>
          <w:sz w:val="18"/>
          <w:lang w:val="el-GR"/>
        </w:rPr>
        <w:t>.</w:t>
      </w:r>
      <w:r>
        <w:rPr>
          <w:w w:val="105"/>
          <w:sz w:val="18"/>
        </w:rPr>
        <w:t>W</w:t>
      </w:r>
      <w:r w:rsidRPr="00D11C54">
        <w:rPr>
          <w:w w:val="105"/>
          <w:sz w:val="18"/>
          <w:lang w:val="el-GR"/>
        </w:rPr>
        <w:t xml:space="preserve">. Στρατηγικές αποζημίωσης που χρησιμοποιούνται από μαθητές υψηλής ικανότητας με μαθησιακές δυσκολίες που επιτυγχάνουν στο κολέγιο. </w:t>
      </w:r>
      <w:bookmarkStart w:id="40" w:name="_bookmark24"/>
      <w:bookmarkEnd w:id="40"/>
      <w:r>
        <w:rPr>
          <w:rFonts w:ascii="Palatino Linotype" w:hAnsi="Palatino Linotype"/>
          <w:i/>
          <w:w w:val="105"/>
          <w:sz w:val="18"/>
        </w:rPr>
        <w:t xml:space="preserve">Δώρο. Παιδί Q. </w:t>
      </w:r>
      <w:r>
        <w:rPr>
          <w:b/>
          <w:w w:val="105"/>
          <w:sz w:val="18"/>
        </w:rPr>
        <w:t xml:space="preserve">2000, </w:t>
      </w:r>
      <w:r>
        <w:rPr>
          <w:w w:val="105"/>
          <w:sz w:val="18"/>
        </w:rPr>
        <w:t>44</w:t>
      </w:r>
      <w:r>
        <w:rPr>
          <w:rFonts w:ascii="Palatino Linotype" w:hAnsi="Palatino Linotype"/>
          <w:i/>
          <w:w w:val="105"/>
          <w:sz w:val="18"/>
        </w:rPr>
        <w:t xml:space="preserve">, </w:t>
      </w:r>
      <w:r>
        <w:rPr>
          <w:w w:val="105"/>
          <w:sz w:val="18"/>
        </w:rPr>
        <w:t>123–134. [</w:t>
      </w:r>
      <w:hyperlink r:id="rId44">
        <w:r>
          <w:rPr>
            <w:color w:val="0774B7"/>
            <w:w w:val="105"/>
            <w:sz w:val="18"/>
          </w:rPr>
          <w:t>CrossRef</w:t>
        </w:r>
      </w:hyperlink>
      <w:r>
        <w:rPr>
          <w:w w:val="105"/>
          <w:sz w:val="18"/>
        </w:rPr>
        <w:t>]</w:t>
      </w:r>
    </w:p>
    <w:p w14:paraId="2A35E11D" w14:textId="77777777" w:rsidR="00F5166D" w:rsidRPr="00D11C54" w:rsidRDefault="00623797">
      <w:pPr>
        <w:pStyle w:val="a5"/>
        <w:numPr>
          <w:ilvl w:val="0"/>
          <w:numId w:val="1"/>
        </w:numPr>
        <w:tabs>
          <w:tab w:val="left" w:pos="544"/>
          <w:tab w:val="left" w:pos="545"/>
        </w:tabs>
        <w:spacing w:line="225" w:lineRule="exact"/>
        <w:rPr>
          <w:sz w:val="18"/>
          <w:lang w:val="el-GR"/>
        </w:rPr>
      </w:pPr>
      <w:bookmarkStart w:id="41" w:name="_bookmark25"/>
      <w:bookmarkEnd w:id="41"/>
      <w:r>
        <w:rPr>
          <w:sz w:val="18"/>
        </w:rPr>
        <w:t>Crux</w:t>
      </w:r>
      <w:r w:rsidRPr="00D11C54">
        <w:rPr>
          <w:sz w:val="18"/>
          <w:lang w:val="el-GR"/>
        </w:rPr>
        <w:t xml:space="preserve">, </w:t>
      </w:r>
      <w:r>
        <w:rPr>
          <w:sz w:val="18"/>
        </w:rPr>
        <w:t>S</w:t>
      </w:r>
      <w:r w:rsidRPr="00D11C54">
        <w:rPr>
          <w:sz w:val="18"/>
          <w:lang w:val="el-GR"/>
        </w:rPr>
        <w:t>.</w:t>
      </w:r>
      <w:r>
        <w:rPr>
          <w:sz w:val="18"/>
        </w:rPr>
        <w:t>C</w:t>
      </w:r>
      <w:r w:rsidRPr="00D11C54">
        <w:rPr>
          <w:sz w:val="18"/>
          <w:lang w:val="el-GR"/>
        </w:rPr>
        <w:t xml:space="preserve">. </w:t>
      </w:r>
      <w:r w:rsidRPr="00D11C54">
        <w:rPr>
          <w:rFonts w:ascii="Palatino Linotype"/>
          <w:i/>
          <w:sz w:val="18"/>
          <w:lang w:val="el-GR"/>
        </w:rPr>
        <w:t>Στρατηγικές</w:t>
      </w:r>
      <w:r w:rsidRPr="00D11C54">
        <w:rPr>
          <w:rFonts w:ascii="Palatino Linotype"/>
          <w:i/>
          <w:sz w:val="18"/>
          <w:lang w:val="el-GR"/>
        </w:rPr>
        <w:t xml:space="preserve"> </w:t>
      </w:r>
      <w:r w:rsidRPr="00D11C54">
        <w:rPr>
          <w:rFonts w:ascii="Palatino Linotype"/>
          <w:i/>
          <w:sz w:val="18"/>
          <w:lang w:val="el-GR"/>
        </w:rPr>
        <w:t>μάθησης</w:t>
      </w:r>
      <w:r w:rsidRPr="00D11C54">
        <w:rPr>
          <w:rFonts w:ascii="Palatino Linotype"/>
          <w:i/>
          <w:sz w:val="18"/>
          <w:lang w:val="el-GR"/>
        </w:rPr>
        <w:t xml:space="preserve"> </w:t>
      </w:r>
      <w:r w:rsidRPr="00D11C54">
        <w:rPr>
          <w:rFonts w:ascii="Palatino Linotype"/>
          <w:i/>
          <w:sz w:val="18"/>
          <w:lang w:val="el-GR"/>
        </w:rPr>
        <w:t>για</w:t>
      </w:r>
      <w:r w:rsidRPr="00D11C54">
        <w:rPr>
          <w:rFonts w:ascii="Palatino Linotype"/>
          <w:i/>
          <w:sz w:val="18"/>
          <w:lang w:val="el-GR"/>
        </w:rPr>
        <w:t xml:space="preserve"> </w:t>
      </w:r>
      <w:r w:rsidRPr="00D11C54">
        <w:rPr>
          <w:rFonts w:ascii="Palatino Linotype"/>
          <w:i/>
          <w:sz w:val="18"/>
          <w:lang w:val="el-GR"/>
        </w:rPr>
        <w:t>ενήλικες</w:t>
      </w:r>
      <w:r w:rsidRPr="00D11C54">
        <w:rPr>
          <w:rFonts w:ascii="Palatino Linotype"/>
          <w:i/>
          <w:sz w:val="18"/>
          <w:lang w:val="el-GR"/>
        </w:rPr>
        <w:t xml:space="preserve">. </w:t>
      </w:r>
      <w:r w:rsidRPr="00D11C54">
        <w:rPr>
          <w:rFonts w:ascii="Palatino Linotype"/>
          <w:i/>
          <w:sz w:val="18"/>
          <w:lang w:val="el-GR"/>
        </w:rPr>
        <w:t>αποζημιώσεις</w:t>
      </w:r>
      <w:r w:rsidRPr="00D11C54">
        <w:rPr>
          <w:rFonts w:ascii="Palatino Linotype"/>
          <w:i/>
          <w:sz w:val="18"/>
          <w:lang w:val="el-GR"/>
        </w:rPr>
        <w:t xml:space="preserve"> </w:t>
      </w:r>
      <w:r w:rsidRPr="00D11C54">
        <w:rPr>
          <w:rFonts w:ascii="Palatino Linotype"/>
          <w:i/>
          <w:sz w:val="18"/>
          <w:lang w:val="el-GR"/>
        </w:rPr>
        <w:t>για</w:t>
      </w:r>
      <w:r w:rsidRPr="00D11C54">
        <w:rPr>
          <w:rFonts w:ascii="Palatino Linotype"/>
          <w:i/>
          <w:sz w:val="18"/>
          <w:lang w:val="el-GR"/>
        </w:rPr>
        <w:t xml:space="preserve"> </w:t>
      </w:r>
      <w:r w:rsidRPr="00D11C54">
        <w:rPr>
          <w:rFonts w:ascii="Palatino Linotype"/>
          <w:i/>
          <w:sz w:val="18"/>
          <w:lang w:val="el-GR"/>
        </w:rPr>
        <w:t>μαθησιακές</w:t>
      </w:r>
      <w:r w:rsidRPr="00D11C54">
        <w:rPr>
          <w:rFonts w:ascii="Palatino Linotype"/>
          <w:i/>
          <w:sz w:val="18"/>
          <w:lang w:val="el-GR"/>
        </w:rPr>
        <w:t xml:space="preserve"> </w:t>
      </w:r>
      <w:r w:rsidRPr="00D11C54">
        <w:rPr>
          <w:rFonts w:ascii="Palatino Linotype"/>
          <w:i/>
          <w:sz w:val="18"/>
          <w:lang w:val="el-GR"/>
        </w:rPr>
        <w:t>δυσκολίες</w:t>
      </w:r>
      <w:r w:rsidRPr="00D11C54">
        <w:rPr>
          <w:sz w:val="18"/>
          <w:lang w:val="el-GR"/>
        </w:rPr>
        <w:t xml:space="preserve">· </w:t>
      </w:r>
      <w:r>
        <w:rPr>
          <w:sz w:val="18"/>
        </w:rPr>
        <w:t>Wall</w:t>
      </w:r>
      <w:r w:rsidRPr="00D11C54">
        <w:rPr>
          <w:sz w:val="18"/>
          <w:lang w:val="el-GR"/>
        </w:rPr>
        <w:t xml:space="preserve"> &amp;; </w:t>
      </w:r>
      <w:r>
        <w:rPr>
          <w:sz w:val="18"/>
        </w:rPr>
        <w:t>Emerson</w:t>
      </w:r>
      <w:r w:rsidRPr="00D11C54">
        <w:rPr>
          <w:sz w:val="18"/>
          <w:lang w:val="el-GR"/>
        </w:rPr>
        <w:t xml:space="preserve">, </w:t>
      </w:r>
      <w:r>
        <w:rPr>
          <w:sz w:val="18"/>
        </w:rPr>
        <w:t>Inc</w:t>
      </w:r>
      <w:r w:rsidRPr="00D11C54">
        <w:rPr>
          <w:sz w:val="18"/>
          <w:lang w:val="el-GR"/>
        </w:rPr>
        <w:t xml:space="preserve">.: </w:t>
      </w:r>
      <w:r>
        <w:rPr>
          <w:sz w:val="18"/>
        </w:rPr>
        <w:t>Middletown</w:t>
      </w:r>
      <w:r w:rsidRPr="00D11C54">
        <w:rPr>
          <w:sz w:val="18"/>
          <w:lang w:val="el-GR"/>
        </w:rPr>
        <w:t xml:space="preserve">, </w:t>
      </w:r>
      <w:r>
        <w:rPr>
          <w:sz w:val="18"/>
        </w:rPr>
        <w:t>CT</w:t>
      </w:r>
      <w:r w:rsidRPr="00D11C54">
        <w:rPr>
          <w:sz w:val="18"/>
          <w:lang w:val="el-GR"/>
        </w:rPr>
        <w:t>, ΗΠΑ, 1991.</w:t>
      </w:r>
    </w:p>
    <w:p w14:paraId="7009DA64" w14:textId="77777777" w:rsidR="00F5166D" w:rsidRDefault="00623797">
      <w:pPr>
        <w:pStyle w:val="a5"/>
        <w:numPr>
          <w:ilvl w:val="0"/>
          <w:numId w:val="1"/>
        </w:numPr>
        <w:tabs>
          <w:tab w:val="left" w:pos="544"/>
          <w:tab w:val="left" w:pos="545"/>
        </w:tabs>
        <w:spacing w:before="3" w:line="228" w:lineRule="auto"/>
        <w:ind w:right="138"/>
        <w:rPr>
          <w:sz w:val="18"/>
        </w:rPr>
      </w:pPr>
      <w:r>
        <w:rPr>
          <w:spacing w:val="-1"/>
          <w:w w:val="110"/>
          <w:sz w:val="18"/>
        </w:rPr>
        <w:t>Narv</w:t>
      </w:r>
      <w:r w:rsidRPr="00D11C54">
        <w:rPr>
          <w:spacing w:val="-1"/>
          <w:w w:val="110"/>
          <w:sz w:val="18"/>
          <w:lang w:val="el-GR"/>
        </w:rPr>
        <w:t>á</w:t>
      </w:r>
      <w:r>
        <w:rPr>
          <w:spacing w:val="-1"/>
          <w:w w:val="110"/>
          <w:sz w:val="18"/>
        </w:rPr>
        <w:t>ez</w:t>
      </w:r>
      <w:r w:rsidRPr="00D11C54">
        <w:rPr>
          <w:spacing w:val="-1"/>
          <w:w w:val="110"/>
          <w:sz w:val="18"/>
          <w:lang w:val="el-GR"/>
        </w:rPr>
        <w:t>-</w:t>
      </w:r>
      <w:r>
        <w:rPr>
          <w:spacing w:val="-1"/>
          <w:w w:val="110"/>
          <w:sz w:val="18"/>
        </w:rPr>
        <w:t>Olmedo</w:t>
      </w:r>
      <w:r w:rsidRPr="00D11C54">
        <w:rPr>
          <w:spacing w:val="-1"/>
          <w:w w:val="110"/>
          <w:sz w:val="18"/>
          <w:lang w:val="el-GR"/>
        </w:rPr>
        <w:t xml:space="preserve">, Γ.; </w:t>
      </w:r>
      <w:r>
        <w:rPr>
          <w:spacing w:val="-1"/>
          <w:w w:val="110"/>
          <w:sz w:val="18"/>
        </w:rPr>
        <w:t>Sala</w:t>
      </w:r>
      <w:r w:rsidRPr="00D11C54">
        <w:rPr>
          <w:spacing w:val="-1"/>
          <w:w w:val="110"/>
          <w:sz w:val="18"/>
          <w:lang w:val="el-GR"/>
        </w:rPr>
        <w:t>-</w:t>
      </w:r>
      <w:r>
        <w:rPr>
          <w:spacing w:val="-1"/>
          <w:w w:val="110"/>
          <w:sz w:val="18"/>
        </w:rPr>
        <w:t>Roca</w:t>
      </w:r>
      <w:r w:rsidRPr="00D11C54">
        <w:rPr>
          <w:spacing w:val="-1"/>
          <w:w w:val="110"/>
          <w:sz w:val="18"/>
          <w:lang w:val="el-GR"/>
        </w:rPr>
        <w:t xml:space="preserve">, </w:t>
      </w:r>
      <w:r>
        <w:rPr>
          <w:spacing w:val="-1"/>
          <w:w w:val="110"/>
          <w:sz w:val="18"/>
        </w:rPr>
        <w:t>J</w:t>
      </w:r>
      <w:r w:rsidRPr="00D11C54">
        <w:rPr>
          <w:spacing w:val="-1"/>
          <w:w w:val="110"/>
          <w:sz w:val="18"/>
          <w:lang w:val="el-GR"/>
        </w:rPr>
        <w:t xml:space="preserve">.; </w:t>
      </w:r>
      <w:r>
        <w:rPr>
          <w:spacing w:val="-1"/>
          <w:w w:val="110"/>
          <w:sz w:val="18"/>
        </w:rPr>
        <w:t>Urrea</w:t>
      </w:r>
      <w:r w:rsidRPr="00D11C54">
        <w:rPr>
          <w:spacing w:val="-1"/>
          <w:w w:val="110"/>
          <w:sz w:val="18"/>
          <w:lang w:val="el-GR"/>
        </w:rPr>
        <w:t>-</w:t>
      </w:r>
      <w:r>
        <w:rPr>
          <w:spacing w:val="-1"/>
          <w:w w:val="110"/>
          <w:sz w:val="18"/>
        </w:rPr>
        <w:t>Moncl</w:t>
      </w:r>
      <w:r w:rsidRPr="00D11C54">
        <w:rPr>
          <w:spacing w:val="-1"/>
          <w:w w:val="110"/>
          <w:sz w:val="18"/>
          <w:lang w:val="el-GR"/>
        </w:rPr>
        <w:t>ú</w:t>
      </w:r>
      <w:r>
        <w:rPr>
          <w:spacing w:val="-1"/>
          <w:w w:val="110"/>
          <w:sz w:val="18"/>
        </w:rPr>
        <w:t>s</w:t>
      </w:r>
      <w:r w:rsidRPr="00D11C54">
        <w:rPr>
          <w:spacing w:val="-1"/>
          <w:w w:val="110"/>
          <w:sz w:val="18"/>
          <w:lang w:val="el-GR"/>
        </w:rPr>
        <w:t xml:space="preserve">, Α. Σχέση μεταξύ μαθησιακών δυσκολιών και κοινωνικοσυναισθηματικών δεξιοτήτων σε </w:t>
      </w:r>
      <w:r w:rsidRPr="00D11C54">
        <w:rPr>
          <w:w w:val="105"/>
          <w:sz w:val="18"/>
          <w:lang w:val="el-GR"/>
        </w:rPr>
        <w:t xml:space="preserve">παιδιά και εφήβους: Μια συστηματική ανασκόπηση. </w:t>
      </w:r>
      <w:r>
        <w:rPr>
          <w:rFonts w:ascii="Palatino Linotype" w:hAnsi="Palatino Linotype"/>
          <w:i/>
          <w:w w:val="105"/>
          <w:sz w:val="18"/>
        </w:rPr>
        <w:t xml:space="preserve">Univers. J. Educ. Res. </w:t>
      </w:r>
      <w:r>
        <w:rPr>
          <w:b/>
          <w:w w:val="105"/>
          <w:sz w:val="18"/>
        </w:rPr>
        <w:t>2021</w:t>
      </w:r>
      <w:r>
        <w:rPr>
          <w:w w:val="105"/>
          <w:sz w:val="18"/>
        </w:rPr>
        <w:t xml:space="preserve">, </w:t>
      </w:r>
      <w:r>
        <w:rPr>
          <w:rFonts w:ascii="Palatino Linotype" w:hAnsi="Palatino Linotype"/>
          <w:i/>
          <w:w w:val="105"/>
          <w:sz w:val="18"/>
        </w:rPr>
        <w:t>9</w:t>
      </w:r>
      <w:r>
        <w:rPr>
          <w:w w:val="105"/>
          <w:sz w:val="18"/>
        </w:rPr>
        <w:t>, 819–830. [</w:t>
      </w:r>
      <w:hyperlink r:id="rId45">
        <w:r>
          <w:rPr>
            <w:color w:val="0774B7"/>
            <w:w w:val="105"/>
            <w:sz w:val="18"/>
          </w:rPr>
          <w:t>CrossRef</w:t>
        </w:r>
      </w:hyperlink>
      <w:r>
        <w:rPr>
          <w:w w:val="105"/>
          <w:sz w:val="18"/>
        </w:rPr>
        <w:t>]</w:t>
      </w:r>
    </w:p>
    <w:p w14:paraId="450C2BC2" w14:textId="77777777" w:rsidR="00F5166D" w:rsidRDefault="00623797">
      <w:pPr>
        <w:pStyle w:val="a5"/>
        <w:numPr>
          <w:ilvl w:val="0"/>
          <w:numId w:val="1"/>
        </w:numPr>
        <w:tabs>
          <w:tab w:val="left" w:pos="544"/>
          <w:tab w:val="left" w:pos="545"/>
        </w:tabs>
        <w:spacing w:before="7"/>
        <w:ind w:right="137"/>
        <w:rPr>
          <w:sz w:val="18"/>
        </w:rPr>
      </w:pPr>
      <w:r>
        <w:rPr>
          <w:w w:val="110"/>
          <w:sz w:val="18"/>
        </w:rPr>
        <w:t>Yılmaz, Α</w:t>
      </w:r>
      <w:r>
        <w:rPr>
          <w:w w:val="118"/>
          <w:sz w:val="18"/>
        </w:rPr>
        <w:t xml:space="preserve">.;  </w:t>
      </w:r>
      <w:r>
        <w:rPr>
          <w:w w:val="107"/>
          <w:sz w:val="18"/>
        </w:rPr>
        <w:t xml:space="preserve">Kırımog ̆ </w:t>
      </w:r>
      <w:r>
        <w:rPr>
          <w:w w:val="112"/>
          <w:sz w:val="18"/>
        </w:rPr>
        <w:t xml:space="preserve">lu, </w:t>
      </w:r>
      <w:r>
        <w:rPr>
          <w:w w:val="117"/>
          <w:sz w:val="18"/>
        </w:rPr>
        <w:t xml:space="preserve">Η.;  </w:t>
      </w:r>
      <w:r>
        <w:rPr>
          <w:w w:val="104"/>
          <w:sz w:val="18"/>
        </w:rPr>
        <w:t>Soyer</w:t>
      </w:r>
      <w:r w:rsidRPr="00D11C54">
        <w:rPr>
          <w:w w:val="123"/>
          <w:sz w:val="18"/>
          <w:lang w:val="el-GR"/>
        </w:rPr>
        <w:t xml:space="preserve">, </w:t>
      </w:r>
      <w:r w:rsidRPr="00D11C54">
        <w:rPr>
          <w:spacing w:val="-17"/>
          <w:w w:val="105"/>
          <w:sz w:val="18"/>
          <w:lang w:val="el-GR"/>
        </w:rPr>
        <w:t>Φ</w:t>
      </w:r>
      <w:r w:rsidRPr="00D11C54">
        <w:rPr>
          <w:w w:val="123"/>
          <w:sz w:val="18"/>
          <w:lang w:val="el-GR"/>
        </w:rPr>
        <w:t xml:space="preserve">.  </w:t>
      </w:r>
      <w:r w:rsidRPr="00D11C54">
        <w:rPr>
          <w:w w:val="107"/>
          <w:sz w:val="18"/>
          <w:lang w:val="el-GR"/>
        </w:rPr>
        <w:t xml:space="preserve">Σύγκριση </w:t>
      </w:r>
      <w:r w:rsidRPr="00D11C54">
        <w:rPr>
          <w:w w:val="104"/>
          <w:sz w:val="18"/>
          <w:lang w:val="el-GR"/>
        </w:rPr>
        <w:t xml:space="preserve">Μοναξιάς </w:t>
      </w:r>
      <w:r w:rsidRPr="00D11C54">
        <w:rPr>
          <w:w w:val="107"/>
          <w:sz w:val="18"/>
          <w:lang w:val="el-GR"/>
        </w:rPr>
        <w:t xml:space="preserve">και </w:t>
      </w:r>
      <w:r w:rsidRPr="00D11C54">
        <w:rPr>
          <w:w w:val="105"/>
          <w:sz w:val="18"/>
          <w:lang w:val="el-GR"/>
        </w:rPr>
        <w:t xml:space="preserve"> </w:t>
      </w:r>
      <w:r w:rsidRPr="00D11C54">
        <w:rPr>
          <w:w w:val="107"/>
          <w:sz w:val="18"/>
          <w:lang w:val="el-GR"/>
        </w:rPr>
        <w:t xml:space="preserve">Επιπέδων </w:t>
      </w:r>
      <w:r w:rsidRPr="00D11C54">
        <w:rPr>
          <w:w w:val="106"/>
          <w:sz w:val="18"/>
          <w:lang w:val="el-GR"/>
        </w:rPr>
        <w:t xml:space="preserve">Κοινωνικών Δεξιοτήτων </w:t>
      </w:r>
      <w:r w:rsidRPr="00D11C54">
        <w:rPr>
          <w:w w:val="107"/>
          <w:sz w:val="18"/>
          <w:lang w:val="el-GR"/>
        </w:rPr>
        <w:t xml:space="preserve"> </w:t>
      </w:r>
      <w:r w:rsidRPr="00D11C54">
        <w:rPr>
          <w:w w:val="111"/>
          <w:sz w:val="18"/>
          <w:lang w:val="el-GR"/>
        </w:rPr>
        <w:t xml:space="preserve">Παιδιών </w:t>
      </w:r>
      <w:r w:rsidRPr="00D11C54">
        <w:rPr>
          <w:w w:val="106"/>
          <w:sz w:val="18"/>
          <w:lang w:val="el-GR"/>
        </w:rPr>
        <w:t xml:space="preserve">με </w:t>
      </w:r>
      <w:r w:rsidRPr="00D11C54">
        <w:rPr>
          <w:w w:val="104"/>
          <w:sz w:val="18"/>
          <w:lang w:val="el-GR"/>
        </w:rPr>
        <w:t xml:space="preserve">Ειδικές </w:t>
      </w:r>
      <w:r w:rsidRPr="00D11C54">
        <w:rPr>
          <w:w w:val="106"/>
          <w:sz w:val="18"/>
          <w:lang w:val="el-GR"/>
        </w:rPr>
        <w:t xml:space="preserve">Μαθησιακές </w:t>
      </w:r>
      <w:bookmarkStart w:id="42" w:name="_bookmark26"/>
      <w:bookmarkEnd w:id="42"/>
      <w:r w:rsidRPr="00D11C54">
        <w:rPr>
          <w:w w:val="105"/>
          <w:sz w:val="18"/>
          <w:lang w:val="el-GR"/>
        </w:rPr>
        <w:t xml:space="preserve">Δυσκολίες όσον αφορά τη Συμμετοχή στον Αθλητισμό. </w:t>
      </w:r>
      <w:r>
        <w:rPr>
          <w:rFonts w:ascii="Palatino Linotype" w:hAnsi="Palatino Linotype"/>
          <w:i/>
          <w:w w:val="105"/>
          <w:sz w:val="18"/>
        </w:rPr>
        <w:t xml:space="preserve">Educ. Sci. </w:t>
      </w:r>
      <w:r>
        <w:rPr>
          <w:b/>
          <w:w w:val="105"/>
          <w:sz w:val="18"/>
        </w:rPr>
        <w:t>2018</w:t>
      </w:r>
      <w:r>
        <w:rPr>
          <w:w w:val="105"/>
          <w:sz w:val="18"/>
        </w:rPr>
        <w:t xml:space="preserve">, </w:t>
      </w:r>
      <w:r>
        <w:rPr>
          <w:rFonts w:ascii="Palatino Linotype" w:hAnsi="Palatino Linotype"/>
          <w:i/>
          <w:w w:val="105"/>
          <w:sz w:val="18"/>
        </w:rPr>
        <w:t>8</w:t>
      </w:r>
      <w:r>
        <w:rPr>
          <w:w w:val="105"/>
          <w:sz w:val="18"/>
        </w:rPr>
        <w:t>, 37. [</w:t>
      </w:r>
      <w:hyperlink r:id="rId46">
        <w:r>
          <w:rPr>
            <w:color w:val="0774B7"/>
            <w:w w:val="105"/>
            <w:sz w:val="18"/>
          </w:rPr>
          <w:t>CrossRef</w:t>
        </w:r>
      </w:hyperlink>
      <w:r>
        <w:rPr>
          <w:w w:val="105"/>
          <w:sz w:val="18"/>
        </w:rPr>
        <w:t>]</w:t>
      </w:r>
    </w:p>
    <w:p w14:paraId="7EF78E02" w14:textId="77777777" w:rsidR="00F5166D" w:rsidRDefault="00623797">
      <w:pPr>
        <w:pStyle w:val="a5"/>
        <w:numPr>
          <w:ilvl w:val="0"/>
          <w:numId w:val="1"/>
        </w:numPr>
        <w:tabs>
          <w:tab w:val="left" w:pos="544"/>
          <w:tab w:val="left" w:pos="545"/>
        </w:tabs>
        <w:spacing w:before="6"/>
        <w:ind w:right="137"/>
        <w:rPr>
          <w:sz w:val="18"/>
        </w:rPr>
      </w:pPr>
      <w:r>
        <w:rPr>
          <w:w w:val="105"/>
          <w:sz w:val="18"/>
        </w:rPr>
        <w:t>Zach, Σ.; Yazdi-Ugav, Ο.; Zeev</w:t>
      </w:r>
      <w:r w:rsidRPr="00D11C54">
        <w:rPr>
          <w:w w:val="105"/>
          <w:sz w:val="18"/>
          <w:lang w:val="el-GR"/>
        </w:rPr>
        <w:t xml:space="preserve">, </w:t>
      </w:r>
      <w:r>
        <w:rPr>
          <w:w w:val="105"/>
          <w:sz w:val="18"/>
        </w:rPr>
        <w:t>A</w:t>
      </w:r>
      <w:r w:rsidRPr="00D11C54">
        <w:rPr>
          <w:w w:val="105"/>
          <w:sz w:val="18"/>
          <w:lang w:val="el-GR"/>
        </w:rPr>
        <w:t xml:space="preserve">. Ακαδημαϊκά επιτεύγματα, προβλήματα συμπεριφοράς και μοναξιά ως προγνωστικοί παράγοντες κοινωνικών δεξιοτήτων μεταξύ μαθητών με και χωρίς μαθησιακές διαταραχές. </w:t>
      </w:r>
      <w:bookmarkStart w:id="43" w:name="_bookmark27"/>
      <w:bookmarkEnd w:id="43"/>
      <w:r>
        <w:rPr>
          <w:rFonts w:ascii="Palatino Linotype" w:hAnsi="Palatino Linotype"/>
          <w:i/>
          <w:w w:val="105"/>
          <w:sz w:val="18"/>
        </w:rPr>
        <w:t>Sch</w:t>
      </w:r>
      <w:r w:rsidRPr="00D11C54">
        <w:rPr>
          <w:rFonts w:ascii="Palatino Linotype" w:hAnsi="Palatino Linotype"/>
          <w:i/>
          <w:w w:val="105"/>
          <w:sz w:val="18"/>
          <w:lang w:val="el-GR"/>
        </w:rPr>
        <w:t xml:space="preserve">. </w:t>
      </w:r>
      <w:r>
        <w:rPr>
          <w:rFonts w:ascii="Palatino Linotype" w:hAnsi="Palatino Linotype"/>
          <w:i/>
          <w:w w:val="105"/>
          <w:sz w:val="18"/>
        </w:rPr>
        <w:t>Psychol</w:t>
      </w:r>
      <w:r w:rsidRPr="00D11C54">
        <w:rPr>
          <w:rFonts w:ascii="Palatino Linotype" w:hAnsi="Palatino Linotype"/>
          <w:i/>
          <w:w w:val="105"/>
          <w:sz w:val="18"/>
          <w:lang w:val="el-GR"/>
        </w:rPr>
        <w:t xml:space="preserve">. </w:t>
      </w:r>
      <w:r>
        <w:rPr>
          <w:rFonts w:ascii="Palatino Linotype" w:hAnsi="Palatino Linotype"/>
          <w:i/>
          <w:w w:val="105"/>
          <w:sz w:val="18"/>
        </w:rPr>
        <w:t xml:space="preserve">Int. </w:t>
      </w:r>
      <w:r>
        <w:rPr>
          <w:b/>
          <w:w w:val="105"/>
          <w:sz w:val="18"/>
        </w:rPr>
        <w:t xml:space="preserve">2016, </w:t>
      </w:r>
      <w:r>
        <w:rPr>
          <w:w w:val="105"/>
          <w:sz w:val="18"/>
        </w:rPr>
        <w:t>37</w:t>
      </w:r>
      <w:r>
        <w:rPr>
          <w:rFonts w:ascii="Palatino Linotype" w:hAnsi="Palatino Linotype"/>
          <w:i/>
          <w:w w:val="105"/>
          <w:sz w:val="18"/>
        </w:rPr>
        <w:t xml:space="preserve">, </w:t>
      </w:r>
      <w:r>
        <w:rPr>
          <w:w w:val="105"/>
          <w:sz w:val="18"/>
        </w:rPr>
        <w:t>378–396. [</w:t>
      </w:r>
      <w:hyperlink r:id="rId47">
        <w:r>
          <w:rPr>
            <w:color w:val="0774B7"/>
            <w:w w:val="105"/>
            <w:sz w:val="18"/>
          </w:rPr>
          <w:t>CrossRef</w:t>
        </w:r>
      </w:hyperlink>
      <w:r>
        <w:rPr>
          <w:w w:val="105"/>
          <w:sz w:val="18"/>
        </w:rPr>
        <w:t>]</w:t>
      </w:r>
    </w:p>
    <w:p w14:paraId="7A0FEF70" w14:textId="77777777" w:rsidR="00F5166D" w:rsidRDefault="00623797">
      <w:pPr>
        <w:pStyle w:val="a5"/>
        <w:numPr>
          <w:ilvl w:val="0"/>
          <w:numId w:val="1"/>
        </w:numPr>
        <w:tabs>
          <w:tab w:val="left" w:pos="544"/>
          <w:tab w:val="left" w:pos="545"/>
        </w:tabs>
        <w:spacing w:before="7"/>
        <w:ind w:right="138"/>
        <w:rPr>
          <w:sz w:val="18"/>
        </w:rPr>
      </w:pPr>
      <w:r>
        <w:rPr>
          <w:sz w:val="18"/>
        </w:rPr>
        <w:t>Alsalem</w:t>
      </w:r>
      <w:r w:rsidRPr="00D11C54">
        <w:rPr>
          <w:sz w:val="18"/>
          <w:lang w:val="el-GR"/>
        </w:rPr>
        <w:t xml:space="preserve">, </w:t>
      </w:r>
      <w:r>
        <w:rPr>
          <w:sz w:val="18"/>
        </w:rPr>
        <w:t>M</w:t>
      </w:r>
      <w:r w:rsidRPr="00D11C54">
        <w:rPr>
          <w:sz w:val="18"/>
          <w:lang w:val="el-GR"/>
        </w:rPr>
        <w:t>.</w:t>
      </w:r>
      <w:r>
        <w:rPr>
          <w:sz w:val="18"/>
        </w:rPr>
        <w:t>A</w:t>
      </w:r>
      <w:r w:rsidRPr="00D11C54">
        <w:rPr>
          <w:sz w:val="18"/>
          <w:lang w:val="el-GR"/>
        </w:rPr>
        <w:t xml:space="preserve">. Διερεύνηση μεταγνωστικών στρατηγικών χρησιμοποιώντας ψηφιακά βιβλία: Ενίσχυση της κατανόησης ανάγνωσης μεταξύ κωφών και βαρήκοων φοιτητών σε περιβάλλοντα τριτοβάθμιας εκπαίδευσης της Σαουδικής Αραβίας. </w:t>
      </w:r>
      <w:bookmarkStart w:id="44" w:name="_bookmark28"/>
      <w:bookmarkEnd w:id="44"/>
      <w:r>
        <w:rPr>
          <w:rFonts w:ascii="Palatino Linotype" w:hAnsi="Palatino Linotype"/>
          <w:i/>
          <w:sz w:val="18"/>
        </w:rPr>
        <w:t xml:space="preserve">J. Educ. Comput. Res. </w:t>
      </w:r>
      <w:r>
        <w:rPr>
          <w:b/>
          <w:sz w:val="18"/>
        </w:rPr>
        <w:t>2018</w:t>
      </w:r>
      <w:r>
        <w:rPr>
          <w:sz w:val="18"/>
        </w:rPr>
        <w:t xml:space="preserve">, </w:t>
      </w:r>
      <w:r>
        <w:rPr>
          <w:rFonts w:ascii="Palatino Linotype" w:hAnsi="Palatino Linotype"/>
          <w:i/>
          <w:sz w:val="18"/>
        </w:rPr>
        <w:t>56</w:t>
      </w:r>
      <w:r>
        <w:rPr>
          <w:sz w:val="18"/>
        </w:rPr>
        <w:t>, 645–674. [</w:t>
      </w:r>
      <w:hyperlink r:id="rId48">
        <w:r>
          <w:rPr>
            <w:color w:val="0774B7"/>
            <w:sz w:val="18"/>
          </w:rPr>
          <w:t>CrossRef</w:t>
        </w:r>
      </w:hyperlink>
      <w:r>
        <w:rPr>
          <w:sz w:val="18"/>
        </w:rPr>
        <w:t>]</w:t>
      </w:r>
    </w:p>
    <w:p w14:paraId="5061A0AF" w14:textId="77777777" w:rsidR="00F5166D" w:rsidRDefault="00623797">
      <w:pPr>
        <w:pStyle w:val="a5"/>
        <w:numPr>
          <w:ilvl w:val="0"/>
          <w:numId w:val="1"/>
        </w:numPr>
        <w:tabs>
          <w:tab w:val="left" w:pos="544"/>
          <w:tab w:val="left" w:pos="545"/>
        </w:tabs>
        <w:spacing w:before="6"/>
        <w:ind w:right="137"/>
        <w:rPr>
          <w:sz w:val="18"/>
        </w:rPr>
      </w:pPr>
      <w:r>
        <w:rPr>
          <w:w w:val="105"/>
          <w:sz w:val="18"/>
        </w:rPr>
        <w:t>Khasawneh</w:t>
      </w:r>
      <w:r w:rsidRPr="00D11C54">
        <w:rPr>
          <w:w w:val="105"/>
          <w:sz w:val="18"/>
          <w:lang w:val="el-GR"/>
        </w:rPr>
        <w:t xml:space="preserve">, Μ.; </w:t>
      </w:r>
      <w:r>
        <w:rPr>
          <w:w w:val="105"/>
          <w:sz w:val="18"/>
        </w:rPr>
        <w:t>Alkhawaldeh</w:t>
      </w:r>
      <w:r w:rsidRPr="00D11C54">
        <w:rPr>
          <w:w w:val="105"/>
          <w:sz w:val="18"/>
          <w:lang w:val="el-GR"/>
        </w:rPr>
        <w:t xml:space="preserve">, Μ.; </w:t>
      </w:r>
      <w:r>
        <w:rPr>
          <w:w w:val="105"/>
          <w:sz w:val="18"/>
        </w:rPr>
        <w:t>Al</w:t>
      </w:r>
      <w:r w:rsidRPr="00D11C54">
        <w:rPr>
          <w:w w:val="105"/>
          <w:sz w:val="18"/>
          <w:lang w:val="el-GR"/>
        </w:rPr>
        <w:t>-</w:t>
      </w:r>
      <w:r>
        <w:rPr>
          <w:w w:val="105"/>
          <w:sz w:val="18"/>
        </w:rPr>
        <w:t>Khasawneh</w:t>
      </w:r>
      <w:r w:rsidRPr="00D11C54">
        <w:rPr>
          <w:w w:val="105"/>
          <w:sz w:val="18"/>
          <w:lang w:val="el-GR"/>
        </w:rPr>
        <w:t xml:space="preserve">, Φ. Το Επίπεδο Μεταγνωστικής Σκέψης σε Μαθητές με Μαθησιακές Δυσκολίες. </w:t>
      </w:r>
      <w:bookmarkStart w:id="45" w:name="_bookmark29"/>
      <w:bookmarkEnd w:id="45"/>
      <w:r>
        <w:rPr>
          <w:rFonts w:ascii="Palatino Linotype"/>
          <w:i/>
          <w:w w:val="105"/>
          <w:sz w:val="18"/>
        </w:rPr>
        <w:t xml:space="preserve">Int. J. Engl. </w:t>
      </w:r>
      <w:r>
        <w:rPr>
          <w:rFonts w:ascii="Palatino Linotype"/>
          <w:i/>
          <w:w w:val="105"/>
          <w:sz w:val="18"/>
        </w:rPr>
        <w:t>Γλωσσολόγος</w:t>
      </w:r>
      <w:r>
        <w:rPr>
          <w:rFonts w:ascii="Palatino Linotype"/>
          <w:i/>
          <w:w w:val="105"/>
          <w:sz w:val="18"/>
        </w:rPr>
        <w:t xml:space="preserve">. </w:t>
      </w:r>
      <w:r>
        <w:rPr>
          <w:b/>
          <w:w w:val="105"/>
          <w:sz w:val="18"/>
        </w:rPr>
        <w:t>2020</w:t>
      </w:r>
      <w:r>
        <w:rPr>
          <w:w w:val="105"/>
          <w:sz w:val="18"/>
        </w:rPr>
        <w:t xml:space="preserve">, </w:t>
      </w:r>
      <w:r>
        <w:rPr>
          <w:rFonts w:ascii="Palatino Linotype"/>
          <w:i/>
          <w:w w:val="105"/>
          <w:sz w:val="18"/>
        </w:rPr>
        <w:t>10</w:t>
      </w:r>
      <w:r>
        <w:rPr>
          <w:w w:val="105"/>
          <w:sz w:val="18"/>
        </w:rPr>
        <w:t>, 343. [</w:t>
      </w:r>
      <w:hyperlink r:id="rId49">
        <w:r>
          <w:rPr>
            <w:color w:val="0774B7"/>
            <w:w w:val="105"/>
            <w:sz w:val="18"/>
          </w:rPr>
          <w:t>CrossRef</w:t>
        </w:r>
      </w:hyperlink>
      <w:r>
        <w:rPr>
          <w:w w:val="105"/>
          <w:sz w:val="18"/>
        </w:rPr>
        <w:t>]</w:t>
      </w:r>
    </w:p>
    <w:p w14:paraId="4C5E434C" w14:textId="77777777" w:rsidR="00F5166D" w:rsidRDefault="00623797">
      <w:pPr>
        <w:pStyle w:val="a5"/>
        <w:numPr>
          <w:ilvl w:val="0"/>
          <w:numId w:val="1"/>
        </w:numPr>
        <w:tabs>
          <w:tab w:val="left" w:pos="544"/>
          <w:tab w:val="left" w:pos="545"/>
        </w:tabs>
        <w:spacing w:before="7"/>
        <w:ind w:right="138"/>
        <w:rPr>
          <w:sz w:val="18"/>
        </w:rPr>
      </w:pPr>
      <w:r w:rsidRPr="00D11C54">
        <w:rPr>
          <w:w w:val="105"/>
          <w:sz w:val="18"/>
          <w:lang w:val="fr-FR"/>
        </w:rPr>
        <w:t xml:space="preserve">Devadason, </w:t>
      </w:r>
      <w:r>
        <w:rPr>
          <w:w w:val="105"/>
          <w:sz w:val="18"/>
        </w:rPr>
        <w:t>Ε</w:t>
      </w:r>
      <w:r w:rsidRPr="00D11C54">
        <w:rPr>
          <w:w w:val="105"/>
          <w:sz w:val="18"/>
          <w:lang w:val="fr-FR"/>
        </w:rPr>
        <w:t>.</w:t>
      </w:r>
      <w:r>
        <w:rPr>
          <w:w w:val="105"/>
          <w:sz w:val="18"/>
        </w:rPr>
        <w:t>Σ</w:t>
      </w:r>
      <w:r w:rsidRPr="00D11C54">
        <w:rPr>
          <w:w w:val="105"/>
          <w:sz w:val="18"/>
          <w:lang w:val="fr-FR"/>
        </w:rPr>
        <w:t xml:space="preserve">.; Subramaniam, </w:t>
      </w:r>
      <w:r>
        <w:rPr>
          <w:w w:val="105"/>
          <w:sz w:val="18"/>
        </w:rPr>
        <w:t>Τ</w:t>
      </w:r>
      <w:r w:rsidRPr="00D11C54">
        <w:rPr>
          <w:w w:val="105"/>
          <w:sz w:val="18"/>
          <w:lang w:val="fr-FR"/>
        </w:rPr>
        <w:t xml:space="preserve">.; </w:t>
      </w:r>
      <w:r>
        <w:rPr>
          <w:w w:val="105"/>
          <w:sz w:val="18"/>
        </w:rPr>
        <w:t>Daniel</w:t>
      </w:r>
      <w:r w:rsidRPr="00D11C54">
        <w:rPr>
          <w:w w:val="105"/>
          <w:sz w:val="18"/>
          <w:lang w:val="el-GR"/>
        </w:rPr>
        <w:t xml:space="preserve">, </w:t>
      </w:r>
      <w:r>
        <w:rPr>
          <w:w w:val="105"/>
          <w:sz w:val="18"/>
        </w:rPr>
        <w:t>E</w:t>
      </w:r>
      <w:r w:rsidRPr="00D11C54">
        <w:rPr>
          <w:w w:val="105"/>
          <w:sz w:val="18"/>
          <w:lang w:val="el-GR"/>
        </w:rPr>
        <w:t>.</w:t>
      </w:r>
      <w:r>
        <w:rPr>
          <w:w w:val="105"/>
          <w:sz w:val="18"/>
        </w:rPr>
        <w:t>G</w:t>
      </w:r>
      <w:r w:rsidRPr="00D11C54">
        <w:rPr>
          <w:w w:val="105"/>
          <w:sz w:val="18"/>
          <w:lang w:val="el-GR"/>
        </w:rPr>
        <w:t>.</w:t>
      </w:r>
      <w:r>
        <w:rPr>
          <w:w w:val="105"/>
          <w:sz w:val="18"/>
        </w:rPr>
        <w:t>S</w:t>
      </w:r>
      <w:r w:rsidRPr="00D11C54">
        <w:rPr>
          <w:w w:val="105"/>
          <w:sz w:val="18"/>
          <w:lang w:val="el-GR"/>
        </w:rPr>
        <w:t xml:space="preserve">. Οι αντιλήψεις των προπτυχιακών φοιτητών του τελευταίου έτους για την ενσωμάτωση των μαλακών δεξιοτήτων στο επίσημο πρόγραμμα σπουδών: Μια έρευνα των δημόσιων πανεπιστημίων της Μαλαισίας. </w:t>
      </w:r>
      <w:bookmarkStart w:id="46" w:name="_bookmark30"/>
      <w:bookmarkEnd w:id="46"/>
      <w:r>
        <w:rPr>
          <w:rFonts w:ascii="Palatino Linotype" w:hAnsi="Palatino Linotype"/>
          <w:i/>
          <w:w w:val="105"/>
          <w:sz w:val="18"/>
        </w:rPr>
        <w:t xml:space="preserve">Ασία Pac. Educ. Rev. </w:t>
      </w:r>
      <w:r>
        <w:rPr>
          <w:b/>
          <w:w w:val="105"/>
          <w:sz w:val="18"/>
        </w:rPr>
        <w:t xml:space="preserve">2010, </w:t>
      </w:r>
      <w:r>
        <w:rPr>
          <w:w w:val="105"/>
          <w:sz w:val="18"/>
        </w:rPr>
        <w:t>11</w:t>
      </w:r>
      <w:r>
        <w:rPr>
          <w:rFonts w:ascii="Palatino Linotype" w:hAnsi="Palatino Linotype"/>
          <w:i/>
          <w:w w:val="105"/>
          <w:sz w:val="18"/>
        </w:rPr>
        <w:t xml:space="preserve">, </w:t>
      </w:r>
      <w:r>
        <w:rPr>
          <w:w w:val="105"/>
          <w:sz w:val="18"/>
        </w:rPr>
        <w:t>321–348. [</w:t>
      </w:r>
      <w:hyperlink r:id="rId50">
        <w:r>
          <w:rPr>
            <w:color w:val="0774B7"/>
            <w:w w:val="105"/>
            <w:sz w:val="18"/>
          </w:rPr>
          <w:t>CrossRef</w:t>
        </w:r>
      </w:hyperlink>
      <w:r>
        <w:rPr>
          <w:w w:val="105"/>
          <w:sz w:val="18"/>
        </w:rPr>
        <w:t>]</w:t>
      </w:r>
    </w:p>
    <w:p w14:paraId="57489FC3" w14:textId="77777777" w:rsidR="00F5166D" w:rsidRDefault="00623797">
      <w:pPr>
        <w:pStyle w:val="a5"/>
        <w:numPr>
          <w:ilvl w:val="0"/>
          <w:numId w:val="1"/>
        </w:numPr>
        <w:tabs>
          <w:tab w:val="left" w:pos="544"/>
          <w:tab w:val="left" w:pos="545"/>
        </w:tabs>
        <w:spacing w:line="231" w:lineRule="exact"/>
        <w:rPr>
          <w:sz w:val="18"/>
        </w:rPr>
      </w:pPr>
      <w:r>
        <w:rPr>
          <w:sz w:val="18"/>
        </w:rPr>
        <w:t>Robles</w:t>
      </w:r>
      <w:r w:rsidRPr="00D11C54">
        <w:rPr>
          <w:sz w:val="18"/>
          <w:lang w:val="el-GR"/>
        </w:rPr>
        <w:t xml:space="preserve">, </w:t>
      </w:r>
      <w:r>
        <w:rPr>
          <w:sz w:val="18"/>
        </w:rPr>
        <w:t>M</w:t>
      </w:r>
      <w:r w:rsidRPr="00D11C54">
        <w:rPr>
          <w:sz w:val="18"/>
          <w:lang w:val="el-GR"/>
        </w:rPr>
        <w:t>.</w:t>
      </w:r>
      <w:r>
        <w:rPr>
          <w:sz w:val="18"/>
        </w:rPr>
        <w:t>M</w:t>
      </w:r>
      <w:r w:rsidRPr="00D11C54">
        <w:rPr>
          <w:sz w:val="18"/>
          <w:lang w:val="el-GR"/>
        </w:rPr>
        <w:t xml:space="preserve">. </w:t>
      </w:r>
      <w:r>
        <w:rPr>
          <w:sz w:val="18"/>
        </w:rPr>
        <w:t>Executive</w:t>
      </w:r>
      <w:r w:rsidRPr="00D11C54">
        <w:rPr>
          <w:sz w:val="18"/>
          <w:lang w:val="el-GR"/>
        </w:rPr>
        <w:t xml:space="preserve"> Αντιλήψεις για τις 10 κορυφαίες μαλακές δεξιότητες που απαιτούνται στο σημερινό χώρο εργασίας. </w:t>
      </w:r>
      <w:r>
        <w:rPr>
          <w:rFonts w:ascii="Palatino Linotype" w:hAnsi="Palatino Linotype"/>
          <w:i/>
          <w:sz w:val="18"/>
        </w:rPr>
        <w:t xml:space="preserve">Λεωφορείο. Commun. Q. </w:t>
      </w:r>
      <w:r>
        <w:rPr>
          <w:b/>
          <w:sz w:val="18"/>
        </w:rPr>
        <w:t xml:space="preserve">2012, </w:t>
      </w:r>
      <w:r>
        <w:rPr>
          <w:sz w:val="18"/>
        </w:rPr>
        <w:t>75</w:t>
      </w:r>
      <w:r>
        <w:rPr>
          <w:rFonts w:ascii="Palatino Linotype" w:hAnsi="Palatino Linotype"/>
          <w:i/>
          <w:sz w:val="18"/>
        </w:rPr>
        <w:t>, 453–465.</w:t>
      </w:r>
      <w:r>
        <w:rPr>
          <w:sz w:val="18"/>
        </w:rPr>
        <w:t xml:space="preserve"> </w:t>
      </w:r>
    </w:p>
    <w:p w14:paraId="1825DDEC" w14:textId="77777777" w:rsidR="00F5166D" w:rsidRDefault="00623797">
      <w:pPr>
        <w:spacing w:before="5"/>
        <w:ind w:left="544"/>
        <w:rPr>
          <w:sz w:val="18"/>
        </w:rPr>
      </w:pPr>
      <w:bookmarkStart w:id="47" w:name="_bookmark31"/>
      <w:bookmarkEnd w:id="47"/>
      <w:r>
        <w:rPr>
          <w:w w:val="105"/>
          <w:sz w:val="18"/>
        </w:rPr>
        <w:t>[</w:t>
      </w:r>
      <w:hyperlink r:id="rId51">
        <w:r>
          <w:rPr>
            <w:color w:val="0774B7"/>
            <w:w w:val="105"/>
            <w:sz w:val="18"/>
          </w:rPr>
          <w:t>CrossRef</w:t>
        </w:r>
      </w:hyperlink>
      <w:r>
        <w:rPr>
          <w:w w:val="105"/>
          <w:sz w:val="18"/>
        </w:rPr>
        <w:t>]</w:t>
      </w:r>
    </w:p>
    <w:p w14:paraId="7FBF77A7" w14:textId="77777777" w:rsidR="00F5166D" w:rsidRDefault="00623797">
      <w:pPr>
        <w:pStyle w:val="a5"/>
        <w:numPr>
          <w:ilvl w:val="0"/>
          <w:numId w:val="1"/>
        </w:numPr>
        <w:tabs>
          <w:tab w:val="left" w:pos="544"/>
          <w:tab w:val="left" w:pos="545"/>
        </w:tabs>
        <w:spacing w:before="1" w:line="244" w:lineRule="auto"/>
        <w:ind w:right="115"/>
        <w:rPr>
          <w:sz w:val="18"/>
        </w:rPr>
      </w:pPr>
      <w:r>
        <w:rPr>
          <w:sz w:val="18"/>
        </w:rPr>
        <w:t xml:space="preserve">Burgoon, J.K.; Dunbar, Νέα Υόρκη; </w:t>
      </w:r>
      <w:r w:rsidRPr="00D11C54">
        <w:rPr>
          <w:sz w:val="18"/>
          <w:lang w:val="el-GR"/>
        </w:rPr>
        <w:t xml:space="preserve">Λευκό, </w:t>
      </w:r>
      <w:r>
        <w:rPr>
          <w:sz w:val="18"/>
        </w:rPr>
        <w:t>C</w:t>
      </w:r>
      <w:r w:rsidRPr="00D11C54">
        <w:rPr>
          <w:sz w:val="18"/>
          <w:lang w:val="el-GR"/>
        </w:rPr>
        <w:t>.</w:t>
      </w:r>
      <w:r>
        <w:rPr>
          <w:sz w:val="18"/>
        </w:rPr>
        <w:t>H</w:t>
      </w:r>
      <w:r w:rsidRPr="00D11C54">
        <w:rPr>
          <w:sz w:val="18"/>
          <w:lang w:val="el-GR"/>
        </w:rPr>
        <w:t xml:space="preserve">. 10. Διαπροσωπική προσαρμογή. στη </w:t>
      </w:r>
      <w:r w:rsidRPr="00D11C54">
        <w:rPr>
          <w:rFonts w:ascii="Palatino Linotype" w:hAnsi="Palatino Linotype"/>
          <w:i/>
          <w:sz w:val="18"/>
          <w:lang w:val="el-GR"/>
        </w:rPr>
        <w:t>διαπροσωπική επικοινωνία</w:t>
      </w:r>
      <w:r w:rsidRPr="00D11C54">
        <w:rPr>
          <w:sz w:val="18"/>
          <w:lang w:val="el-GR"/>
        </w:rPr>
        <w:t xml:space="preserve">. </w:t>
      </w:r>
      <w:r>
        <w:rPr>
          <w:sz w:val="18"/>
        </w:rPr>
        <w:t xml:space="preserve">De Gruyter Mouton: Βερολίνο, </w:t>
      </w:r>
      <w:bookmarkStart w:id="48" w:name="_bookmark32"/>
      <w:bookmarkEnd w:id="48"/>
      <w:r>
        <w:rPr>
          <w:w w:val="105"/>
          <w:sz w:val="18"/>
        </w:rPr>
        <w:t>Γερμανία, 2014· σελίδες 225–248.</w:t>
      </w:r>
    </w:p>
    <w:p w14:paraId="6F5E4876" w14:textId="77777777" w:rsidR="00F5166D" w:rsidRDefault="00623797">
      <w:pPr>
        <w:pStyle w:val="a5"/>
        <w:numPr>
          <w:ilvl w:val="0"/>
          <w:numId w:val="1"/>
        </w:numPr>
        <w:tabs>
          <w:tab w:val="left" w:pos="544"/>
          <w:tab w:val="left" w:pos="545"/>
        </w:tabs>
        <w:spacing w:line="234" w:lineRule="exact"/>
        <w:rPr>
          <w:rFonts w:ascii="Palatino Linotype"/>
          <w:i/>
          <w:sz w:val="18"/>
        </w:rPr>
      </w:pPr>
      <w:r>
        <w:rPr>
          <w:w w:val="105"/>
          <w:sz w:val="18"/>
        </w:rPr>
        <w:t>Kim</w:t>
      </w:r>
      <w:r w:rsidRPr="00D11C54">
        <w:rPr>
          <w:w w:val="105"/>
          <w:sz w:val="18"/>
          <w:lang w:val="el-GR"/>
        </w:rPr>
        <w:t xml:space="preserve">, Η.; </w:t>
      </w:r>
      <w:r>
        <w:rPr>
          <w:w w:val="105"/>
          <w:sz w:val="18"/>
        </w:rPr>
        <w:t>Choi</w:t>
      </w:r>
      <w:r w:rsidRPr="00D11C54">
        <w:rPr>
          <w:w w:val="105"/>
          <w:sz w:val="18"/>
          <w:lang w:val="el-GR"/>
        </w:rPr>
        <w:t xml:space="preserve">, Η.; </w:t>
      </w:r>
      <w:r>
        <w:rPr>
          <w:w w:val="105"/>
          <w:sz w:val="18"/>
        </w:rPr>
        <w:t>Han</w:t>
      </w:r>
      <w:r w:rsidRPr="00D11C54">
        <w:rPr>
          <w:w w:val="105"/>
          <w:sz w:val="18"/>
          <w:lang w:val="el-GR"/>
        </w:rPr>
        <w:t xml:space="preserve">, Σ. Η επίδραση της αίσθησης του χιούμορ και της ενσυναίσθησης στη διαπροσωπική προσαρμογή. </w:t>
      </w:r>
      <w:r w:rsidRPr="00D11C54">
        <w:rPr>
          <w:rFonts w:ascii="Palatino Linotype"/>
          <w:i/>
          <w:w w:val="105"/>
          <w:sz w:val="18"/>
          <w:lang w:val="el-GR"/>
        </w:rPr>
        <w:t>Προσωπικός</w:t>
      </w:r>
      <w:r w:rsidRPr="00D11C54">
        <w:rPr>
          <w:rFonts w:ascii="Palatino Linotype"/>
          <w:i/>
          <w:w w:val="105"/>
          <w:sz w:val="18"/>
          <w:lang w:val="el-GR"/>
        </w:rPr>
        <w:t xml:space="preserve">. </w:t>
      </w:r>
      <w:r w:rsidRPr="00D11C54">
        <w:rPr>
          <w:rFonts w:ascii="Palatino Linotype"/>
          <w:i/>
          <w:w w:val="105"/>
          <w:sz w:val="18"/>
          <w:lang w:val="el-GR"/>
        </w:rPr>
        <w:t>Ατομικό</w:t>
      </w:r>
      <w:r w:rsidRPr="00D11C54">
        <w:rPr>
          <w:rFonts w:ascii="Palatino Linotype"/>
          <w:i/>
          <w:w w:val="105"/>
          <w:sz w:val="18"/>
          <w:lang w:val="el-GR"/>
        </w:rPr>
        <w:t xml:space="preserve">. </w:t>
      </w:r>
      <w:r>
        <w:rPr>
          <w:rFonts w:ascii="Palatino Linotype"/>
          <w:i/>
          <w:w w:val="105"/>
          <w:sz w:val="18"/>
        </w:rPr>
        <w:t>Διαφέρω</w:t>
      </w:r>
      <w:r>
        <w:rPr>
          <w:rFonts w:ascii="Palatino Linotype"/>
          <w:i/>
          <w:w w:val="105"/>
          <w:sz w:val="18"/>
        </w:rPr>
        <w:t>.</w:t>
      </w:r>
    </w:p>
    <w:p w14:paraId="0F0ECE62" w14:textId="77777777" w:rsidR="00F5166D" w:rsidRDefault="00623797">
      <w:pPr>
        <w:spacing w:line="230" w:lineRule="exact"/>
        <w:ind w:left="544"/>
        <w:rPr>
          <w:sz w:val="18"/>
        </w:rPr>
      </w:pPr>
      <w:bookmarkStart w:id="49" w:name="_bookmark33"/>
      <w:bookmarkEnd w:id="49"/>
      <w:r>
        <w:rPr>
          <w:b/>
          <w:w w:val="95"/>
          <w:sz w:val="18"/>
        </w:rPr>
        <w:t>2022</w:t>
      </w:r>
      <w:r>
        <w:rPr>
          <w:w w:val="95"/>
          <w:sz w:val="18"/>
        </w:rPr>
        <w:t xml:space="preserve">, </w:t>
      </w:r>
      <w:r>
        <w:rPr>
          <w:rFonts w:ascii="Palatino Linotype"/>
          <w:i/>
          <w:w w:val="95"/>
          <w:sz w:val="18"/>
        </w:rPr>
        <w:t>197</w:t>
      </w:r>
      <w:r>
        <w:rPr>
          <w:w w:val="95"/>
          <w:sz w:val="18"/>
        </w:rPr>
        <w:t>, 111791. [</w:t>
      </w:r>
      <w:hyperlink r:id="rId52">
        <w:r>
          <w:rPr>
            <w:color w:val="0774B7"/>
            <w:w w:val="95"/>
            <w:sz w:val="18"/>
          </w:rPr>
          <w:t>CrossRef</w:t>
        </w:r>
      </w:hyperlink>
      <w:r>
        <w:rPr>
          <w:w w:val="95"/>
          <w:sz w:val="18"/>
        </w:rPr>
        <w:t>]</w:t>
      </w:r>
    </w:p>
    <w:p w14:paraId="46102E4A" w14:textId="77777777" w:rsidR="00F5166D" w:rsidRDefault="00623797">
      <w:pPr>
        <w:pStyle w:val="a5"/>
        <w:numPr>
          <w:ilvl w:val="0"/>
          <w:numId w:val="1"/>
        </w:numPr>
        <w:tabs>
          <w:tab w:val="left" w:pos="544"/>
          <w:tab w:val="left" w:pos="545"/>
        </w:tabs>
        <w:spacing w:line="244" w:lineRule="auto"/>
        <w:ind w:right="115"/>
        <w:rPr>
          <w:sz w:val="18"/>
        </w:rPr>
      </w:pPr>
      <w:r>
        <w:rPr>
          <w:sz w:val="18"/>
        </w:rPr>
        <w:t xml:space="preserve">Di Nuovo, S.Q.A.I. Un test di adattamento interpersonale. Στο </w:t>
      </w:r>
      <w:r>
        <w:rPr>
          <w:rFonts w:ascii="Palatino Linotype" w:hAnsi="Palatino Linotype"/>
          <w:i/>
          <w:sz w:val="18"/>
        </w:rPr>
        <w:t>Valutare le Psicoterapie: La Ricerca Italiana</w:t>
      </w:r>
      <w:r>
        <w:rPr>
          <w:sz w:val="18"/>
        </w:rPr>
        <w:t xml:space="preserve">; Di Nuovo, S., Lo Verso, G., </w:t>
      </w:r>
      <w:bookmarkStart w:id="50" w:name="_bookmark34"/>
      <w:bookmarkEnd w:id="50"/>
      <w:r>
        <w:rPr>
          <w:w w:val="105"/>
          <w:sz w:val="18"/>
        </w:rPr>
        <w:t>Di Blasi, M., Giannone, F., επιμ.· Franco Angeli: Μιλάνο, Ιταλία, 1998· σελίδες 281–289.</w:t>
      </w:r>
    </w:p>
    <w:p w14:paraId="75CC988F" w14:textId="77777777" w:rsidR="00F5166D" w:rsidRDefault="00623797">
      <w:pPr>
        <w:pStyle w:val="a5"/>
        <w:numPr>
          <w:ilvl w:val="0"/>
          <w:numId w:val="1"/>
        </w:numPr>
        <w:tabs>
          <w:tab w:val="left" w:pos="545"/>
        </w:tabs>
        <w:spacing w:line="228" w:lineRule="auto"/>
        <w:ind w:left="538" w:right="138" w:hanging="424"/>
        <w:jc w:val="both"/>
        <w:rPr>
          <w:sz w:val="18"/>
        </w:rPr>
      </w:pPr>
      <w:r w:rsidRPr="00D11C54">
        <w:rPr>
          <w:sz w:val="18"/>
          <w:lang w:val="fr-FR"/>
        </w:rPr>
        <w:t xml:space="preserve">Di Nuovo, </w:t>
      </w:r>
      <w:r w:rsidRPr="00623797">
        <w:rPr>
          <w:sz w:val="18"/>
        </w:rPr>
        <w:t>Σ</w:t>
      </w:r>
      <w:r w:rsidRPr="00D11C54">
        <w:rPr>
          <w:sz w:val="18"/>
          <w:lang w:val="fr-FR"/>
        </w:rPr>
        <w:t xml:space="preserve">.; Magnano, </w:t>
      </w:r>
      <w:r w:rsidRPr="00623797">
        <w:rPr>
          <w:sz w:val="18"/>
        </w:rPr>
        <w:t>Π</w:t>
      </w:r>
      <w:r w:rsidRPr="00D11C54">
        <w:rPr>
          <w:sz w:val="18"/>
          <w:lang w:val="fr-FR"/>
        </w:rPr>
        <w:t xml:space="preserve">. </w:t>
      </w:r>
      <w:r w:rsidRPr="00D11C54">
        <w:rPr>
          <w:rFonts w:ascii="Palatino Linotype" w:hAnsi="Palatino Linotype"/>
          <w:i/>
          <w:sz w:val="18"/>
          <w:lang w:val="fr-FR"/>
        </w:rPr>
        <w:t xml:space="preserve">Competenze Trasversali e Scelte Formative. </w:t>
      </w:r>
      <w:r w:rsidRPr="00623797">
        <w:rPr>
          <w:rFonts w:ascii="Palatino Linotype" w:hAnsi="Palatino Linotype"/>
          <w:i/>
          <w:sz w:val="18"/>
        </w:rPr>
        <w:t>Strumenti per Valutare Metacognizione, Motivazione, Interessi e Abilità Sociali per la Continuità tra Livelli Scolastici</w:t>
      </w:r>
      <w:r>
        <w:rPr>
          <w:sz w:val="18"/>
        </w:rPr>
        <w:t>; Edizioni Erickson: Τρέντο, Ιταλία, 2013.</w:t>
      </w:r>
    </w:p>
    <w:p w14:paraId="45059152" w14:textId="77777777" w:rsidR="00F5166D" w:rsidRDefault="00F5166D">
      <w:pPr>
        <w:spacing w:line="228" w:lineRule="auto"/>
        <w:jc w:val="both"/>
        <w:rPr>
          <w:sz w:val="18"/>
        </w:rPr>
        <w:sectPr w:rsidR="00F5166D">
          <w:pgSz w:w="11910" w:h="16840"/>
          <w:pgMar w:top="1400" w:right="580" w:bottom="280" w:left="600" w:header="1109" w:footer="0" w:gutter="0"/>
          <w:cols w:space="720"/>
        </w:sectPr>
      </w:pPr>
    </w:p>
    <w:p w14:paraId="01A4DBDF" w14:textId="77777777" w:rsidR="00F5166D" w:rsidRDefault="00F5166D">
      <w:pPr>
        <w:pStyle w:val="a3"/>
      </w:pPr>
    </w:p>
    <w:p w14:paraId="2C93AEC3" w14:textId="77777777" w:rsidR="00F5166D" w:rsidRDefault="00F5166D">
      <w:pPr>
        <w:pStyle w:val="a3"/>
        <w:spacing w:before="2"/>
        <w:rPr>
          <w:sz w:val="23"/>
        </w:rPr>
      </w:pPr>
    </w:p>
    <w:p w14:paraId="38A443E3" w14:textId="77777777" w:rsidR="00F5166D" w:rsidRDefault="00623797">
      <w:pPr>
        <w:pStyle w:val="a5"/>
        <w:numPr>
          <w:ilvl w:val="0"/>
          <w:numId w:val="1"/>
        </w:numPr>
        <w:tabs>
          <w:tab w:val="left" w:pos="544"/>
          <w:tab w:val="left" w:pos="545"/>
        </w:tabs>
        <w:ind w:right="138"/>
        <w:rPr>
          <w:sz w:val="18"/>
        </w:rPr>
      </w:pPr>
      <w:bookmarkStart w:id="51" w:name="_bookmark35"/>
      <w:bookmarkEnd w:id="51"/>
      <w:r>
        <w:rPr>
          <w:sz w:val="18"/>
        </w:rPr>
        <w:t>Al</w:t>
      </w:r>
      <w:r w:rsidRPr="00D11C54">
        <w:rPr>
          <w:sz w:val="18"/>
          <w:lang w:val="el-GR"/>
        </w:rPr>
        <w:t>-</w:t>
      </w:r>
      <w:r>
        <w:rPr>
          <w:sz w:val="18"/>
        </w:rPr>
        <w:t>Yagon</w:t>
      </w:r>
      <w:r w:rsidRPr="00D11C54">
        <w:rPr>
          <w:sz w:val="18"/>
          <w:lang w:val="el-GR"/>
        </w:rPr>
        <w:t xml:space="preserve">, Μ.; </w:t>
      </w:r>
      <w:r>
        <w:rPr>
          <w:sz w:val="18"/>
        </w:rPr>
        <w:t>Mikulincer</w:t>
      </w:r>
      <w:r w:rsidRPr="00D11C54">
        <w:rPr>
          <w:sz w:val="18"/>
          <w:lang w:val="el-GR"/>
        </w:rPr>
        <w:t xml:space="preserve">, </w:t>
      </w:r>
      <w:r>
        <w:rPr>
          <w:sz w:val="18"/>
        </w:rPr>
        <w:t>M</w:t>
      </w:r>
      <w:r w:rsidRPr="00D11C54">
        <w:rPr>
          <w:sz w:val="18"/>
          <w:lang w:val="el-GR"/>
        </w:rPr>
        <w:t xml:space="preserve">. Πρότυπα στενών σχέσεων και κοινωνικοσυναισθηματικής και ακαδημαϊκής προσαρμογής μεταξύ παιδιών σχολικής ηλικίας με μαθησιακές δυσκολίες. </w:t>
      </w:r>
      <w:bookmarkStart w:id="52" w:name="_bookmark36"/>
      <w:bookmarkEnd w:id="52"/>
      <w:r>
        <w:rPr>
          <w:rFonts w:ascii="Palatino Linotype" w:hAnsi="Palatino Linotype"/>
          <w:i/>
          <w:sz w:val="18"/>
        </w:rPr>
        <w:t xml:space="preserve">Μαθαίνω. Ντισαμπίλ. Res. Pract. </w:t>
      </w:r>
      <w:r>
        <w:rPr>
          <w:b/>
          <w:sz w:val="18"/>
        </w:rPr>
        <w:t>2004, 19</w:t>
      </w:r>
      <w:r>
        <w:rPr>
          <w:sz w:val="18"/>
        </w:rPr>
        <w:t>, 12–19. [</w:t>
      </w:r>
      <w:hyperlink r:id="rId53">
        <w:r>
          <w:rPr>
            <w:color w:val="0774B7"/>
            <w:sz w:val="18"/>
          </w:rPr>
          <w:t>CrossRef</w:t>
        </w:r>
      </w:hyperlink>
      <w:r>
        <w:rPr>
          <w:sz w:val="18"/>
        </w:rPr>
        <w:t>]</w:t>
      </w:r>
    </w:p>
    <w:p w14:paraId="10CD20AA" w14:textId="77777777" w:rsidR="00F5166D" w:rsidRDefault="00623797">
      <w:pPr>
        <w:pStyle w:val="a5"/>
        <w:numPr>
          <w:ilvl w:val="0"/>
          <w:numId w:val="1"/>
        </w:numPr>
        <w:tabs>
          <w:tab w:val="left" w:pos="544"/>
          <w:tab w:val="left" w:pos="545"/>
        </w:tabs>
        <w:spacing w:line="231" w:lineRule="exact"/>
        <w:rPr>
          <w:sz w:val="18"/>
        </w:rPr>
      </w:pPr>
      <w:r>
        <w:rPr>
          <w:sz w:val="18"/>
        </w:rPr>
        <w:t>Kavale</w:t>
      </w:r>
      <w:r w:rsidRPr="00D11C54">
        <w:rPr>
          <w:sz w:val="18"/>
          <w:lang w:val="el-GR"/>
        </w:rPr>
        <w:t xml:space="preserve">, Κ.Α.; </w:t>
      </w:r>
      <w:r>
        <w:rPr>
          <w:sz w:val="18"/>
        </w:rPr>
        <w:t>Mostert</w:t>
      </w:r>
      <w:r w:rsidRPr="00D11C54">
        <w:rPr>
          <w:sz w:val="18"/>
          <w:lang w:val="el-GR"/>
        </w:rPr>
        <w:t xml:space="preserve">, </w:t>
      </w:r>
      <w:r>
        <w:rPr>
          <w:sz w:val="18"/>
        </w:rPr>
        <w:t>M</w:t>
      </w:r>
      <w:r w:rsidRPr="00D11C54">
        <w:rPr>
          <w:sz w:val="18"/>
          <w:lang w:val="el-GR"/>
        </w:rPr>
        <w:t>.</w:t>
      </w:r>
      <w:r>
        <w:rPr>
          <w:sz w:val="18"/>
        </w:rPr>
        <w:t>P</w:t>
      </w:r>
      <w:r w:rsidRPr="00D11C54">
        <w:rPr>
          <w:sz w:val="18"/>
          <w:lang w:val="el-GR"/>
        </w:rPr>
        <w:t xml:space="preserve">. Παρεμβάσεις Κοινωνικών Δεξιοτήτων για Άτομα με Μαθησιακές Δυσκολίες. </w:t>
      </w:r>
      <w:r>
        <w:rPr>
          <w:rFonts w:ascii="Palatino Linotype" w:hAnsi="Palatino Linotype"/>
          <w:i/>
          <w:sz w:val="18"/>
        </w:rPr>
        <w:t xml:space="preserve">Μαθαίνω. Ντισαμπίλ. Ερ. </w:t>
      </w:r>
      <w:r>
        <w:rPr>
          <w:b/>
          <w:sz w:val="18"/>
        </w:rPr>
        <w:t>2004</w:t>
      </w:r>
      <w:r>
        <w:rPr>
          <w:sz w:val="18"/>
        </w:rPr>
        <w:t xml:space="preserve">, </w:t>
      </w:r>
      <w:r>
        <w:rPr>
          <w:rFonts w:ascii="Palatino Linotype" w:hAnsi="Palatino Linotype"/>
          <w:i/>
          <w:sz w:val="18"/>
        </w:rPr>
        <w:t>27</w:t>
      </w:r>
      <w:r>
        <w:rPr>
          <w:sz w:val="18"/>
        </w:rPr>
        <w:t>, 31–43.</w:t>
      </w:r>
    </w:p>
    <w:p w14:paraId="286AD69A" w14:textId="77777777" w:rsidR="00F5166D" w:rsidRDefault="00623797">
      <w:pPr>
        <w:spacing w:before="5" w:line="201" w:lineRule="exact"/>
        <w:ind w:left="544"/>
        <w:rPr>
          <w:sz w:val="18"/>
        </w:rPr>
      </w:pPr>
      <w:bookmarkStart w:id="53" w:name="_bookmark37"/>
      <w:bookmarkEnd w:id="53"/>
      <w:r>
        <w:rPr>
          <w:w w:val="105"/>
          <w:sz w:val="18"/>
        </w:rPr>
        <w:t>[</w:t>
      </w:r>
      <w:hyperlink r:id="rId54">
        <w:r>
          <w:rPr>
            <w:color w:val="0774B7"/>
            <w:w w:val="105"/>
            <w:sz w:val="18"/>
          </w:rPr>
          <w:t>CrossRef</w:t>
        </w:r>
      </w:hyperlink>
      <w:r>
        <w:rPr>
          <w:w w:val="105"/>
          <w:sz w:val="18"/>
        </w:rPr>
        <w:t>]</w:t>
      </w:r>
    </w:p>
    <w:p w14:paraId="25B7984E" w14:textId="77777777" w:rsidR="00F5166D" w:rsidRDefault="00623797">
      <w:pPr>
        <w:pStyle w:val="a5"/>
        <w:numPr>
          <w:ilvl w:val="0"/>
          <w:numId w:val="1"/>
        </w:numPr>
        <w:tabs>
          <w:tab w:val="left" w:pos="545"/>
        </w:tabs>
        <w:spacing w:line="248" w:lineRule="exact"/>
        <w:jc w:val="both"/>
        <w:rPr>
          <w:sz w:val="18"/>
        </w:rPr>
      </w:pPr>
      <w:r>
        <w:rPr>
          <w:w w:val="106"/>
          <w:sz w:val="18"/>
        </w:rPr>
        <w:t>Schmidt</w:t>
      </w:r>
      <w:r w:rsidRPr="00D11C54">
        <w:rPr>
          <w:w w:val="106"/>
          <w:sz w:val="18"/>
          <w:lang w:val="el-GR"/>
        </w:rPr>
        <w:t xml:space="preserve">, </w:t>
      </w:r>
      <w:r w:rsidRPr="00D11C54">
        <w:rPr>
          <w:w w:val="112"/>
          <w:sz w:val="18"/>
          <w:lang w:val="el-GR"/>
        </w:rPr>
        <w:t xml:space="preserve">Μ.; </w:t>
      </w:r>
      <w:r>
        <w:rPr>
          <w:w w:val="104"/>
          <w:sz w:val="18"/>
        </w:rPr>
        <w:t>Prah</w:t>
      </w:r>
      <w:r w:rsidRPr="00D11C54">
        <w:rPr>
          <w:w w:val="104"/>
          <w:sz w:val="18"/>
          <w:lang w:val="el-GR"/>
        </w:rPr>
        <w:t xml:space="preserve">, </w:t>
      </w:r>
      <w:r w:rsidRPr="00D11C54">
        <w:rPr>
          <w:w w:val="117"/>
          <w:sz w:val="18"/>
          <w:lang w:val="el-GR"/>
        </w:rPr>
        <w:t xml:space="preserve">Α.; </w:t>
      </w:r>
      <w:r>
        <w:rPr>
          <w:spacing w:val="-95"/>
          <w:w w:val="126"/>
          <w:sz w:val="18"/>
        </w:rPr>
        <w:t>C</w:t>
      </w:r>
      <w:r w:rsidRPr="00D11C54">
        <w:rPr>
          <w:spacing w:val="-95"/>
          <w:w w:val="126"/>
          <w:sz w:val="18"/>
          <w:lang w:val="el-GR"/>
        </w:rPr>
        <w:t xml:space="preserve">ˇ </w:t>
      </w:r>
      <w:r>
        <w:rPr>
          <w:w w:val="105"/>
          <w:sz w:val="18"/>
        </w:rPr>
        <w:t>agran</w:t>
      </w:r>
      <w:r w:rsidRPr="00D11C54">
        <w:rPr>
          <w:w w:val="105"/>
          <w:sz w:val="18"/>
          <w:lang w:val="el-GR"/>
        </w:rPr>
        <w:t xml:space="preserve">, Β. </w:t>
      </w:r>
      <w:r w:rsidRPr="00D11C54">
        <w:rPr>
          <w:w w:val="103"/>
          <w:sz w:val="18"/>
          <w:lang w:val="el-GR"/>
        </w:rPr>
        <w:t xml:space="preserve">Κοινωνικές δεξιότητες </w:t>
      </w:r>
      <w:r w:rsidRPr="00D11C54">
        <w:rPr>
          <w:w w:val="105"/>
          <w:sz w:val="18"/>
          <w:lang w:val="el-GR"/>
        </w:rPr>
        <w:t xml:space="preserve"> </w:t>
      </w:r>
      <w:r w:rsidRPr="00D11C54">
        <w:rPr>
          <w:w w:val="104"/>
          <w:sz w:val="18"/>
          <w:lang w:val="el-GR"/>
        </w:rPr>
        <w:t xml:space="preserve">Σλοβένων μαθητών δημοτικού </w:t>
      </w:r>
      <w:r w:rsidRPr="00D11C54">
        <w:rPr>
          <w:w w:val="103"/>
          <w:sz w:val="18"/>
          <w:lang w:val="el-GR"/>
        </w:rPr>
        <w:t xml:space="preserve">σχολείου </w:t>
      </w:r>
      <w:r w:rsidRPr="00D11C54">
        <w:rPr>
          <w:w w:val="102"/>
          <w:sz w:val="18"/>
          <w:lang w:val="el-GR"/>
        </w:rPr>
        <w:t xml:space="preserve"> </w:t>
      </w:r>
      <w:r w:rsidRPr="00D11C54">
        <w:rPr>
          <w:w w:val="104"/>
          <w:sz w:val="18"/>
          <w:lang w:val="el-GR"/>
        </w:rPr>
        <w:t xml:space="preserve">με </w:t>
      </w:r>
      <w:r w:rsidRPr="00D11C54">
        <w:rPr>
          <w:w w:val="103"/>
          <w:sz w:val="18"/>
          <w:lang w:val="el-GR"/>
        </w:rPr>
        <w:t xml:space="preserve">μαθησιακές δυσκολίες. </w:t>
      </w:r>
      <w:r>
        <w:rPr>
          <w:rFonts w:ascii="Palatino Linotype" w:hAnsi="Palatino Linotype"/>
          <w:i/>
          <w:sz w:val="18"/>
        </w:rPr>
        <w:t xml:space="preserve">Εκπαιδεύστε Stud. </w:t>
      </w:r>
      <w:r>
        <w:rPr>
          <w:b/>
          <w:w w:val="84"/>
          <w:sz w:val="18"/>
        </w:rPr>
        <w:t>2014</w:t>
      </w:r>
      <w:r>
        <w:rPr>
          <w:w w:val="122"/>
          <w:sz w:val="18"/>
        </w:rPr>
        <w:t>,</w:t>
      </w:r>
    </w:p>
    <w:p w14:paraId="0F5AB152" w14:textId="77777777" w:rsidR="00F5166D" w:rsidRDefault="00623797">
      <w:pPr>
        <w:spacing w:line="236" w:lineRule="exact"/>
        <w:ind w:left="540"/>
        <w:jc w:val="both"/>
        <w:rPr>
          <w:sz w:val="18"/>
        </w:rPr>
      </w:pPr>
      <w:bookmarkStart w:id="54" w:name="_bookmark38"/>
      <w:bookmarkEnd w:id="54"/>
      <w:r>
        <w:rPr>
          <w:rFonts w:ascii="Palatino Linotype" w:hAnsi="Palatino Linotype"/>
          <w:i/>
          <w:sz w:val="18"/>
        </w:rPr>
        <w:t>40</w:t>
      </w:r>
      <w:r>
        <w:rPr>
          <w:sz w:val="18"/>
        </w:rPr>
        <w:t>, 407–422. [</w:t>
      </w:r>
      <w:hyperlink r:id="rId55">
        <w:r>
          <w:rPr>
            <w:color w:val="0774B7"/>
            <w:sz w:val="18"/>
          </w:rPr>
          <w:t>CrossRef</w:t>
        </w:r>
      </w:hyperlink>
      <w:r>
        <w:rPr>
          <w:sz w:val="18"/>
        </w:rPr>
        <w:t>]</w:t>
      </w:r>
    </w:p>
    <w:p w14:paraId="2551471F" w14:textId="77777777" w:rsidR="00F5166D" w:rsidRDefault="00623797">
      <w:pPr>
        <w:pStyle w:val="a5"/>
        <w:numPr>
          <w:ilvl w:val="0"/>
          <w:numId w:val="1"/>
        </w:numPr>
        <w:tabs>
          <w:tab w:val="left" w:pos="545"/>
        </w:tabs>
        <w:spacing w:before="9" w:line="235" w:lineRule="auto"/>
        <w:ind w:right="115"/>
        <w:jc w:val="both"/>
        <w:rPr>
          <w:sz w:val="18"/>
        </w:rPr>
      </w:pPr>
      <w:r w:rsidRPr="00D11C54">
        <w:rPr>
          <w:w w:val="105"/>
          <w:sz w:val="18"/>
          <w:lang w:val="fr-FR"/>
        </w:rPr>
        <w:t xml:space="preserve">Mirzakhany, </w:t>
      </w:r>
      <w:r>
        <w:rPr>
          <w:w w:val="105"/>
          <w:sz w:val="18"/>
        </w:rPr>
        <w:t>Ν</w:t>
      </w:r>
      <w:r w:rsidRPr="00D11C54">
        <w:rPr>
          <w:w w:val="105"/>
          <w:sz w:val="18"/>
          <w:lang w:val="fr-FR"/>
        </w:rPr>
        <w:t xml:space="preserve">.; Kangarani Farahani, </w:t>
      </w:r>
      <w:r>
        <w:rPr>
          <w:w w:val="105"/>
          <w:sz w:val="18"/>
        </w:rPr>
        <w:t>Μ</w:t>
      </w:r>
      <w:r w:rsidRPr="00D11C54">
        <w:rPr>
          <w:w w:val="105"/>
          <w:sz w:val="18"/>
          <w:lang w:val="fr-FR"/>
        </w:rPr>
        <w:t xml:space="preserve">.; </w:t>
      </w:r>
      <w:r>
        <w:rPr>
          <w:w w:val="105"/>
          <w:sz w:val="18"/>
        </w:rPr>
        <w:t>Rezaee, Μ.; Akbarzadeh Baghban, Α.; Sadeghi</w:t>
      </w:r>
      <w:r w:rsidRPr="00D11C54">
        <w:rPr>
          <w:w w:val="105"/>
          <w:sz w:val="18"/>
          <w:lang w:val="el-GR"/>
        </w:rPr>
        <w:t xml:space="preserve">, Ε. Σύγκριση δεξιοτήτων αυτοπεποίθησης και άγχους μεταξύ μαθητών με μαθησιακές δυσκολίες και τυπικών συνομηλίκων σε δημοτικά σχολεία της Τεχεράνης. </w:t>
      </w:r>
      <w:r>
        <w:rPr>
          <w:rFonts w:ascii="Palatino Linotype" w:hAnsi="Palatino Linotype"/>
          <w:i/>
          <w:w w:val="105"/>
          <w:sz w:val="18"/>
        </w:rPr>
        <w:t xml:space="preserve">Sci. J. Αποκατάσταση. Med. </w:t>
      </w:r>
      <w:bookmarkStart w:id="55" w:name="_bookmark39"/>
      <w:bookmarkEnd w:id="55"/>
      <w:r>
        <w:rPr>
          <w:b/>
          <w:w w:val="105"/>
          <w:sz w:val="18"/>
        </w:rPr>
        <w:t>2016</w:t>
      </w:r>
      <w:r>
        <w:rPr>
          <w:w w:val="105"/>
          <w:sz w:val="18"/>
        </w:rPr>
        <w:t xml:space="preserve">, </w:t>
      </w:r>
      <w:r>
        <w:rPr>
          <w:rFonts w:ascii="Palatino Linotype" w:hAnsi="Palatino Linotype"/>
          <w:i/>
          <w:w w:val="105"/>
          <w:sz w:val="18"/>
        </w:rPr>
        <w:t>5</w:t>
      </w:r>
      <w:r>
        <w:rPr>
          <w:w w:val="105"/>
          <w:sz w:val="18"/>
        </w:rPr>
        <w:t>, 209–218.</w:t>
      </w:r>
    </w:p>
    <w:p w14:paraId="3A2229CF" w14:textId="77777777" w:rsidR="00F5166D" w:rsidRDefault="00623797">
      <w:pPr>
        <w:pStyle w:val="a5"/>
        <w:numPr>
          <w:ilvl w:val="0"/>
          <w:numId w:val="1"/>
        </w:numPr>
        <w:tabs>
          <w:tab w:val="left" w:pos="545"/>
        </w:tabs>
        <w:spacing w:before="4" w:line="242" w:lineRule="auto"/>
        <w:ind w:right="106"/>
        <w:jc w:val="both"/>
        <w:rPr>
          <w:sz w:val="18"/>
        </w:rPr>
      </w:pPr>
      <w:r>
        <w:rPr>
          <w:w w:val="105"/>
          <w:sz w:val="18"/>
        </w:rPr>
        <w:t>Beebe-Frankenberger, Μ.; Lane, Κ.Λ.; Bocian, Κ.Μ.; Gresham, Φ.Μ.; MacMillan</w:t>
      </w:r>
      <w:r w:rsidRPr="00D11C54">
        <w:rPr>
          <w:w w:val="105"/>
          <w:sz w:val="18"/>
          <w:lang w:val="el-GR"/>
        </w:rPr>
        <w:t xml:space="preserve">, </w:t>
      </w:r>
      <w:r>
        <w:rPr>
          <w:w w:val="105"/>
          <w:sz w:val="18"/>
        </w:rPr>
        <w:t>D</w:t>
      </w:r>
      <w:r w:rsidRPr="00D11C54">
        <w:rPr>
          <w:w w:val="105"/>
          <w:sz w:val="18"/>
          <w:lang w:val="el-GR"/>
        </w:rPr>
        <w:t>.</w:t>
      </w:r>
      <w:r>
        <w:rPr>
          <w:w w:val="105"/>
          <w:sz w:val="18"/>
        </w:rPr>
        <w:t>L</w:t>
      </w:r>
      <w:r w:rsidRPr="00D11C54">
        <w:rPr>
          <w:w w:val="105"/>
          <w:sz w:val="18"/>
          <w:lang w:val="el-GR"/>
        </w:rPr>
        <w:t xml:space="preserve">. Μαθητές με ή σε κίνδυνο για προβληματική συμπεριφορά: </w:t>
      </w:r>
      <w:r>
        <w:rPr>
          <w:w w:val="105"/>
          <w:sz w:val="18"/>
        </w:rPr>
        <w:t>Betwixt</w:t>
      </w:r>
      <w:r w:rsidRPr="00D11C54">
        <w:rPr>
          <w:w w:val="105"/>
          <w:sz w:val="18"/>
          <w:lang w:val="el-GR"/>
        </w:rPr>
        <w:t xml:space="preserve"> και μεταξύ των προσδοκιών του δασκάλου και των γονέων. </w:t>
      </w:r>
      <w:r w:rsidRPr="00D11C54">
        <w:rPr>
          <w:rFonts w:ascii="Palatino Linotype" w:hAnsi="Palatino Linotype"/>
          <w:i/>
          <w:w w:val="105"/>
          <w:sz w:val="18"/>
          <w:lang w:val="el-GR"/>
        </w:rPr>
        <w:t xml:space="preserve">Προηγ. </w:t>
      </w:r>
      <w:r>
        <w:rPr>
          <w:rFonts w:ascii="Palatino Linotype" w:hAnsi="Palatino Linotype"/>
          <w:i/>
          <w:w w:val="105"/>
          <w:sz w:val="18"/>
        </w:rPr>
        <w:t xml:space="preserve">Sch. Fail. Αλτέρνα. Εκπαίδευση. Παιδί. Νεολαία </w:t>
      </w:r>
      <w:r>
        <w:rPr>
          <w:b/>
          <w:w w:val="105"/>
          <w:sz w:val="18"/>
        </w:rPr>
        <w:t>2010</w:t>
      </w:r>
      <w:r>
        <w:rPr>
          <w:w w:val="105"/>
          <w:sz w:val="18"/>
        </w:rPr>
        <w:t xml:space="preserve">, </w:t>
      </w:r>
      <w:r>
        <w:rPr>
          <w:rFonts w:ascii="Palatino Linotype" w:hAnsi="Palatino Linotype"/>
          <w:i/>
          <w:w w:val="105"/>
          <w:sz w:val="18"/>
        </w:rPr>
        <w:t>49</w:t>
      </w:r>
      <w:r>
        <w:rPr>
          <w:w w:val="105"/>
          <w:sz w:val="18"/>
        </w:rPr>
        <w:t>, 10–17. [</w:t>
      </w:r>
      <w:bookmarkStart w:id="56" w:name="_bookmark40"/>
      <w:bookmarkEnd w:id="56"/>
      <w:r w:rsidR="00000000">
        <w:fldChar w:fldCharType="begin"/>
      </w:r>
      <w:r w:rsidR="00000000">
        <w:instrText>HYPERLINK "http://doi.org/10.3200/PSFL.49.2.10-17" \h</w:instrText>
      </w:r>
      <w:r w:rsidR="00000000">
        <w:fldChar w:fldCharType="separate"/>
      </w:r>
      <w:r>
        <w:rPr>
          <w:color w:val="0774B7"/>
          <w:w w:val="105"/>
          <w:sz w:val="18"/>
        </w:rPr>
        <w:t>CrossRef</w:t>
      </w:r>
      <w:r w:rsidR="00000000">
        <w:rPr>
          <w:color w:val="0774B7"/>
          <w:w w:val="105"/>
          <w:sz w:val="18"/>
        </w:rPr>
        <w:fldChar w:fldCharType="end"/>
      </w:r>
      <w:r>
        <w:rPr>
          <w:w w:val="105"/>
          <w:sz w:val="18"/>
        </w:rPr>
        <w:t>]</w:t>
      </w:r>
    </w:p>
    <w:p w14:paraId="4BAAB0DB" w14:textId="77777777" w:rsidR="00F5166D" w:rsidRDefault="00623797">
      <w:pPr>
        <w:pStyle w:val="a5"/>
        <w:numPr>
          <w:ilvl w:val="0"/>
          <w:numId w:val="1"/>
        </w:numPr>
        <w:tabs>
          <w:tab w:val="left" w:pos="545"/>
        </w:tabs>
        <w:spacing w:before="19"/>
        <w:ind w:right="138"/>
        <w:jc w:val="both"/>
        <w:rPr>
          <w:sz w:val="18"/>
        </w:rPr>
      </w:pPr>
      <w:r>
        <w:rPr>
          <w:sz w:val="18"/>
        </w:rPr>
        <w:t>Milsom</w:t>
      </w:r>
      <w:r w:rsidRPr="00D11C54">
        <w:rPr>
          <w:sz w:val="18"/>
          <w:lang w:val="el-GR"/>
        </w:rPr>
        <w:t xml:space="preserve">, Α.; </w:t>
      </w:r>
      <w:r>
        <w:rPr>
          <w:sz w:val="18"/>
        </w:rPr>
        <w:t>Glanville</w:t>
      </w:r>
      <w:r w:rsidRPr="00D11C54">
        <w:rPr>
          <w:sz w:val="18"/>
          <w:lang w:val="el-GR"/>
        </w:rPr>
        <w:t xml:space="preserve">, </w:t>
      </w:r>
      <w:r>
        <w:rPr>
          <w:sz w:val="18"/>
        </w:rPr>
        <w:t>J</w:t>
      </w:r>
      <w:r w:rsidRPr="00D11C54">
        <w:rPr>
          <w:sz w:val="18"/>
          <w:lang w:val="el-GR"/>
        </w:rPr>
        <w:t>.</w:t>
      </w:r>
      <w:r>
        <w:rPr>
          <w:sz w:val="18"/>
        </w:rPr>
        <w:t>L</w:t>
      </w:r>
      <w:r w:rsidRPr="00D11C54">
        <w:rPr>
          <w:sz w:val="18"/>
          <w:lang w:val="el-GR"/>
        </w:rPr>
        <w:t xml:space="preserve">. Παράγοντες που μεσολαβούν στη σχέση μεταξύ κοινωνικών δεξιοτήτων και ακαδημαϊκών βαθμών σε δείγμα μαθητών  που </w:t>
      </w:r>
      <w:bookmarkStart w:id="57" w:name="_bookmark41"/>
      <w:bookmarkEnd w:id="57"/>
      <w:r w:rsidRPr="00D11C54">
        <w:rPr>
          <w:spacing w:val="-1"/>
          <w:w w:val="105"/>
          <w:sz w:val="18"/>
          <w:lang w:val="el-GR"/>
        </w:rPr>
        <w:t xml:space="preserve">έχουν διαγνωστεί με μαθησιακές δυσκολίες ή συναισθηματική διαταραχή. </w:t>
      </w:r>
      <w:r>
        <w:rPr>
          <w:rFonts w:ascii="Palatino Linotype" w:hAnsi="Palatino Linotype"/>
          <w:i/>
          <w:w w:val="105"/>
          <w:sz w:val="18"/>
        </w:rPr>
        <w:t xml:space="preserve">Διορθωτική Spec. Educ. </w:t>
      </w:r>
      <w:r>
        <w:rPr>
          <w:b/>
          <w:w w:val="105"/>
          <w:sz w:val="18"/>
        </w:rPr>
        <w:t xml:space="preserve">2009, </w:t>
      </w:r>
      <w:r>
        <w:rPr>
          <w:w w:val="105"/>
          <w:sz w:val="18"/>
        </w:rPr>
        <w:t>31</w:t>
      </w:r>
      <w:r>
        <w:rPr>
          <w:rFonts w:ascii="Palatino Linotype" w:hAnsi="Palatino Linotype"/>
          <w:i/>
          <w:w w:val="105"/>
          <w:sz w:val="18"/>
        </w:rPr>
        <w:t xml:space="preserve">, </w:t>
      </w:r>
      <w:r>
        <w:rPr>
          <w:w w:val="105"/>
          <w:sz w:val="18"/>
        </w:rPr>
        <w:t>241–251. [</w:t>
      </w:r>
      <w:hyperlink r:id="rId56">
        <w:r>
          <w:rPr>
            <w:color w:val="0774B7"/>
            <w:w w:val="105"/>
            <w:sz w:val="18"/>
          </w:rPr>
          <w:t>CrossRef</w:t>
        </w:r>
      </w:hyperlink>
      <w:r>
        <w:rPr>
          <w:w w:val="105"/>
          <w:sz w:val="18"/>
        </w:rPr>
        <w:t>]</w:t>
      </w:r>
    </w:p>
    <w:p w14:paraId="6E4FA669" w14:textId="77777777" w:rsidR="00F5166D" w:rsidRDefault="00623797">
      <w:pPr>
        <w:pStyle w:val="a5"/>
        <w:numPr>
          <w:ilvl w:val="0"/>
          <w:numId w:val="1"/>
        </w:numPr>
        <w:tabs>
          <w:tab w:val="left" w:pos="545"/>
        </w:tabs>
        <w:spacing w:line="228" w:lineRule="auto"/>
        <w:ind w:left="539" w:right="115" w:hanging="425"/>
        <w:jc w:val="both"/>
        <w:rPr>
          <w:sz w:val="18"/>
        </w:rPr>
      </w:pPr>
      <w:r w:rsidRPr="00D11C54">
        <w:rPr>
          <w:w w:val="105"/>
          <w:sz w:val="18"/>
          <w:lang w:val="el-GR"/>
        </w:rPr>
        <w:t xml:space="preserve">Ταχύτητα, π.Χ.; </w:t>
      </w:r>
      <w:r>
        <w:rPr>
          <w:w w:val="105"/>
          <w:sz w:val="18"/>
        </w:rPr>
        <w:t>Goldstein</w:t>
      </w:r>
      <w:r w:rsidRPr="00D11C54">
        <w:rPr>
          <w:w w:val="105"/>
          <w:sz w:val="18"/>
          <w:lang w:val="el-GR"/>
        </w:rPr>
        <w:t xml:space="preserve">, Β.Λ.; </w:t>
      </w:r>
      <w:r>
        <w:rPr>
          <w:w w:val="105"/>
          <w:sz w:val="18"/>
        </w:rPr>
        <w:t>Goldfried</w:t>
      </w:r>
      <w:r w:rsidRPr="00D11C54">
        <w:rPr>
          <w:w w:val="105"/>
          <w:sz w:val="18"/>
          <w:lang w:val="el-GR"/>
        </w:rPr>
        <w:t xml:space="preserve">, </w:t>
      </w:r>
      <w:r>
        <w:rPr>
          <w:w w:val="105"/>
          <w:sz w:val="18"/>
        </w:rPr>
        <w:t>M</w:t>
      </w:r>
      <w:r w:rsidRPr="00D11C54">
        <w:rPr>
          <w:w w:val="105"/>
          <w:sz w:val="18"/>
          <w:lang w:val="el-GR"/>
        </w:rPr>
        <w:t>.</w:t>
      </w:r>
      <w:r>
        <w:rPr>
          <w:w w:val="105"/>
          <w:sz w:val="18"/>
        </w:rPr>
        <w:t>R</w:t>
      </w:r>
      <w:r w:rsidRPr="00D11C54">
        <w:rPr>
          <w:w w:val="105"/>
          <w:sz w:val="18"/>
          <w:lang w:val="el-GR"/>
        </w:rPr>
        <w:t xml:space="preserve">. Εκπαίδευση διεκδικητικότητας: Μια ξεχασμένη τεκμηριωμένη θεραπεία. </w:t>
      </w:r>
      <w:r>
        <w:rPr>
          <w:rFonts w:ascii="Palatino Linotype"/>
          <w:i/>
          <w:w w:val="105"/>
          <w:sz w:val="18"/>
        </w:rPr>
        <w:t xml:space="preserve">Clin. Psychol. Sci. </w:t>
      </w:r>
      <w:r>
        <w:rPr>
          <w:rFonts w:ascii="Palatino Linotype"/>
          <w:i/>
          <w:w w:val="105"/>
          <w:sz w:val="18"/>
        </w:rPr>
        <w:t>Πρακτική</w:t>
      </w:r>
      <w:r>
        <w:rPr>
          <w:rFonts w:ascii="Palatino Linotype"/>
          <w:i/>
          <w:w w:val="105"/>
          <w:sz w:val="18"/>
        </w:rPr>
        <w:t xml:space="preserve">. </w:t>
      </w:r>
      <w:bookmarkStart w:id="58" w:name="_bookmark42"/>
      <w:bookmarkEnd w:id="58"/>
      <w:r>
        <w:rPr>
          <w:b/>
          <w:w w:val="105"/>
          <w:sz w:val="18"/>
        </w:rPr>
        <w:t>2018</w:t>
      </w:r>
      <w:r>
        <w:rPr>
          <w:w w:val="105"/>
          <w:sz w:val="18"/>
        </w:rPr>
        <w:t xml:space="preserve">, </w:t>
      </w:r>
      <w:r>
        <w:rPr>
          <w:rFonts w:ascii="Palatino Linotype"/>
          <w:i/>
          <w:w w:val="105"/>
          <w:sz w:val="18"/>
        </w:rPr>
        <w:t>25</w:t>
      </w:r>
      <w:r>
        <w:rPr>
          <w:w w:val="105"/>
          <w:sz w:val="18"/>
        </w:rPr>
        <w:t>, E12216. [</w:t>
      </w:r>
      <w:hyperlink r:id="rId57">
        <w:r>
          <w:rPr>
            <w:color w:val="0774B7"/>
            <w:w w:val="105"/>
            <w:sz w:val="18"/>
          </w:rPr>
          <w:t>CrossRef</w:t>
        </w:r>
      </w:hyperlink>
      <w:r>
        <w:rPr>
          <w:w w:val="105"/>
          <w:sz w:val="18"/>
        </w:rPr>
        <w:t>]</w:t>
      </w:r>
    </w:p>
    <w:p w14:paraId="00AFF6B8" w14:textId="77777777" w:rsidR="00F5166D" w:rsidRPr="00D11C54" w:rsidRDefault="00623797">
      <w:pPr>
        <w:pStyle w:val="a5"/>
        <w:numPr>
          <w:ilvl w:val="0"/>
          <w:numId w:val="1"/>
        </w:numPr>
        <w:tabs>
          <w:tab w:val="left" w:pos="545"/>
        </w:tabs>
        <w:spacing w:line="226" w:lineRule="exact"/>
        <w:jc w:val="both"/>
        <w:rPr>
          <w:sz w:val="18"/>
          <w:lang w:val="el-GR"/>
        </w:rPr>
      </w:pPr>
      <w:bookmarkStart w:id="59" w:name="_bookmark43"/>
      <w:bookmarkEnd w:id="59"/>
      <w:r>
        <w:rPr>
          <w:spacing w:val="-1"/>
          <w:w w:val="105"/>
          <w:sz w:val="18"/>
        </w:rPr>
        <w:t>Bandura</w:t>
      </w:r>
      <w:r w:rsidRPr="00D11C54">
        <w:rPr>
          <w:spacing w:val="-1"/>
          <w:w w:val="105"/>
          <w:sz w:val="18"/>
          <w:lang w:val="el-GR"/>
        </w:rPr>
        <w:t xml:space="preserve">, Α. </w:t>
      </w:r>
      <w:r w:rsidRPr="00D11C54">
        <w:rPr>
          <w:rFonts w:ascii="Palatino Linotype"/>
          <w:i/>
          <w:w w:val="105"/>
          <w:sz w:val="18"/>
          <w:lang w:val="el-GR"/>
        </w:rPr>
        <w:t>Αυτοαποτελεσματικότητα</w:t>
      </w:r>
      <w:r w:rsidRPr="00D11C54">
        <w:rPr>
          <w:rFonts w:ascii="Palatino Linotype"/>
          <w:i/>
          <w:w w:val="105"/>
          <w:sz w:val="18"/>
          <w:lang w:val="el-GR"/>
        </w:rPr>
        <w:t xml:space="preserve">: </w:t>
      </w:r>
      <w:r w:rsidRPr="00D11C54">
        <w:rPr>
          <w:rFonts w:ascii="Palatino Linotype"/>
          <w:i/>
          <w:w w:val="105"/>
          <w:sz w:val="18"/>
          <w:lang w:val="el-GR"/>
        </w:rPr>
        <w:t>η</w:t>
      </w:r>
      <w:r w:rsidRPr="00D11C54">
        <w:rPr>
          <w:rFonts w:ascii="Palatino Linotype"/>
          <w:i/>
          <w:w w:val="105"/>
          <w:sz w:val="18"/>
          <w:lang w:val="el-GR"/>
        </w:rPr>
        <w:t xml:space="preserve"> </w:t>
      </w:r>
      <w:r w:rsidRPr="00D11C54">
        <w:rPr>
          <w:rFonts w:ascii="Palatino Linotype"/>
          <w:i/>
          <w:w w:val="105"/>
          <w:sz w:val="18"/>
          <w:lang w:val="el-GR"/>
        </w:rPr>
        <w:t>άσκηση</w:t>
      </w:r>
      <w:r w:rsidRPr="00D11C54">
        <w:rPr>
          <w:rFonts w:ascii="Palatino Linotype"/>
          <w:i/>
          <w:w w:val="105"/>
          <w:sz w:val="18"/>
          <w:lang w:val="el-GR"/>
        </w:rPr>
        <w:t xml:space="preserve"> </w:t>
      </w:r>
      <w:r w:rsidRPr="00D11C54">
        <w:rPr>
          <w:rFonts w:ascii="Palatino Linotype"/>
          <w:i/>
          <w:w w:val="105"/>
          <w:sz w:val="18"/>
          <w:lang w:val="el-GR"/>
        </w:rPr>
        <w:t>ελέγχου</w:t>
      </w:r>
      <w:r w:rsidRPr="00D11C54">
        <w:rPr>
          <w:w w:val="105"/>
          <w:sz w:val="18"/>
          <w:lang w:val="el-GR"/>
        </w:rPr>
        <w:t xml:space="preserve">. </w:t>
      </w:r>
      <w:r>
        <w:rPr>
          <w:w w:val="105"/>
          <w:sz w:val="18"/>
        </w:rPr>
        <w:t>W</w:t>
      </w:r>
      <w:r w:rsidRPr="00D11C54">
        <w:rPr>
          <w:w w:val="105"/>
          <w:sz w:val="18"/>
          <w:lang w:val="el-GR"/>
        </w:rPr>
        <w:t>.</w:t>
      </w:r>
      <w:r>
        <w:rPr>
          <w:w w:val="105"/>
          <w:sz w:val="18"/>
        </w:rPr>
        <w:t>H</w:t>
      </w:r>
      <w:r w:rsidRPr="00D11C54">
        <w:rPr>
          <w:w w:val="105"/>
          <w:sz w:val="18"/>
          <w:lang w:val="el-GR"/>
        </w:rPr>
        <w:t xml:space="preserve">. </w:t>
      </w:r>
      <w:r>
        <w:rPr>
          <w:w w:val="105"/>
          <w:sz w:val="18"/>
        </w:rPr>
        <w:t>Freeman</w:t>
      </w:r>
      <w:r w:rsidRPr="00D11C54">
        <w:rPr>
          <w:w w:val="105"/>
          <w:sz w:val="18"/>
          <w:lang w:val="el-GR"/>
        </w:rPr>
        <w:t>: Νέα Υόρκη, Νέα Υόρκη, ΗΠΑ, 1997.</w:t>
      </w:r>
    </w:p>
    <w:p w14:paraId="7998ABF6" w14:textId="77777777" w:rsidR="00F5166D" w:rsidRDefault="00623797">
      <w:pPr>
        <w:pStyle w:val="a5"/>
        <w:numPr>
          <w:ilvl w:val="0"/>
          <w:numId w:val="1"/>
        </w:numPr>
        <w:tabs>
          <w:tab w:val="left" w:pos="545"/>
        </w:tabs>
        <w:spacing w:line="236" w:lineRule="exact"/>
        <w:jc w:val="both"/>
        <w:rPr>
          <w:sz w:val="18"/>
        </w:rPr>
      </w:pPr>
      <w:bookmarkStart w:id="60" w:name="_bookmark44"/>
      <w:bookmarkEnd w:id="60"/>
      <w:r>
        <w:rPr>
          <w:sz w:val="18"/>
        </w:rPr>
        <w:t>Pajares</w:t>
      </w:r>
      <w:r w:rsidRPr="00D11C54">
        <w:rPr>
          <w:sz w:val="18"/>
          <w:lang w:val="el-GR"/>
        </w:rPr>
        <w:t xml:space="preserve">, </w:t>
      </w:r>
      <w:r>
        <w:rPr>
          <w:sz w:val="18"/>
        </w:rPr>
        <w:t>F</w:t>
      </w:r>
      <w:r w:rsidRPr="00D11C54">
        <w:rPr>
          <w:sz w:val="18"/>
          <w:lang w:val="el-GR"/>
        </w:rPr>
        <w:t xml:space="preserve">. Πεποιθήσεις αυτο-αποτελεσματικότητας σε ακαδημαϊκά περιβάλλοντα. </w:t>
      </w:r>
      <w:r>
        <w:rPr>
          <w:rFonts w:ascii="Palatino Linotype" w:hAnsi="Palatino Linotype"/>
          <w:i/>
          <w:sz w:val="18"/>
        </w:rPr>
        <w:t xml:space="preserve">Rev. Educ. Res. </w:t>
      </w:r>
      <w:r>
        <w:rPr>
          <w:b/>
          <w:sz w:val="18"/>
        </w:rPr>
        <w:t>2016</w:t>
      </w:r>
      <w:r>
        <w:rPr>
          <w:sz w:val="18"/>
        </w:rPr>
        <w:t xml:space="preserve">, </w:t>
      </w:r>
      <w:r>
        <w:rPr>
          <w:rFonts w:ascii="Palatino Linotype" w:hAnsi="Palatino Linotype"/>
          <w:i/>
          <w:sz w:val="18"/>
        </w:rPr>
        <w:t>66</w:t>
      </w:r>
      <w:r>
        <w:rPr>
          <w:sz w:val="18"/>
        </w:rPr>
        <w:t>, 543–578. [</w:t>
      </w:r>
      <w:hyperlink r:id="rId58">
        <w:r>
          <w:rPr>
            <w:color w:val="0774B7"/>
            <w:sz w:val="18"/>
          </w:rPr>
          <w:t>CrossRef</w:t>
        </w:r>
      </w:hyperlink>
      <w:r>
        <w:rPr>
          <w:sz w:val="18"/>
        </w:rPr>
        <w:t>]</w:t>
      </w:r>
    </w:p>
    <w:p w14:paraId="7109E245" w14:textId="77777777" w:rsidR="00F5166D" w:rsidRDefault="00623797">
      <w:pPr>
        <w:pStyle w:val="a5"/>
        <w:numPr>
          <w:ilvl w:val="0"/>
          <w:numId w:val="1"/>
        </w:numPr>
        <w:tabs>
          <w:tab w:val="left" w:pos="544"/>
          <w:tab w:val="left" w:pos="545"/>
        </w:tabs>
        <w:spacing w:before="3"/>
        <w:ind w:left="538" w:right="137" w:hanging="424"/>
        <w:rPr>
          <w:sz w:val="18"/>
        </w:rPr>
      </w:pPr>
      <w:r>
        <w:rPr>
          <w:w w:val="105"/>
          <w:sz w:val="18"/>
        </w:rPr>
        <w:t xml:space="preserve">Sherer, Μ.; Maddux, J.E.; Mercandante, Β.; Prentice-Dunn, Σ.; Jacobs, Β.; Rogers, R.W. Η κλίμακα αυτο-αποτελεσματικότητας: Κατασκευή και επικύρωση. </w:t>
      </w:r>
      <w:bookmarkStart w:id="61" w:name="_bookmark45"/>
      <w:bookmarkEnd w:id="61"/>
      <w:r>
        <w:rPr>
          <w:rFonts w:ascii="Palatino Linotype" w:hAnsi="Palatino Linotype"/>
          <w:i/>
          <w:w w:val="105"/>
          <w:sz w:val="18"/>
        </w:rPr>
        <w:t xml:space="preserve">Ψυχολ. Rep. </w:t>
      </w:r>
      <w:r>
        <w:rPr>
          <w:b/>
          <w:w w:val="105"/>
          <w:sz w:val="18"/>
        </w:rPr>
        <w:t xml:space="preserve">2016, </w:t>
      </w:r>
      <w:r>
        <w:rPr>
          <w:w w:val="105"/>
          <w:sz w:val="18"/>
        </w:rPr>
        <w:t>51</w:t>
      </w:r>
      <w:r>
        <w:rPr>
          <w:rFonts w:ascii="Palatino Linotype" w:hAnsi="Palatino Linotype"/>
          <w:i/>
          <w:w w:val="105"/>
          <w:sz w:val="18"/>
        </w:rPr>
        <w:t xml:space="preserve">, </w:t>
      </w:r>
      <w:r>
        <w:rPr>
          <w:w w:val="105"/>
          <w:sz w:val="18"/>
        </w:rPr>
        <w:t>663–671. [</w:t>
      </w:r>
      <w:hyperlink r:id="rId59">
        <w:r>
          <w:rPr>
            <w:color w:val="0774B7"/>
            <w:w w:val="105"/>
            <w:sz w:val="18"/>
          </w:rPr>
          <w:t>CrossRef</w:t>
        </w:r>
      </w:hyperlink>
      <w:r>
        <w:rPr>
          <w:w w:val="105"/>
          <w:sz w:val="18"/>
        </w:rPr>
        <w:t>]</w:t>
      </w:r>
    </w:p>
    <w:p w14:paraId="233A57A5" w14:textId="77777777" w:rsidR="00F5166D" w:rsidRDefault="00623797">
      <w:pPr>
        <w:pStyle w:val="a5"/>
        <w:numPr>
          <w:ilvl w:val="0"/>
          <w:numId w:val="1"/>
        </w:numPr>
        <w:tabs>
          <w:tab w:val="left" w:pos="544"/>
          <w:tab w:val="left" w:pos="545"/>
        </w:tabs>
        <w:spacing w:line="231" w:lineRule="exact"/>
        <w:rPr>
          <w:sz w:val="18"/>
        </w:rPr>
      </w:pPr>
      <w:bookmarkStart w:id="62" w:name="_bookmark46"/>
      <w:bookmarkEnd w:id="62"/>
      <w:r>
        <w:rPr>
          <w:sz w:val="18"/>
        </w:rPr>
        <w:t>Bandura</w:t>
      </w:r>
      <w:r w:rsidRPr="00D11C54">
        <w:rPr>
          <w:sz w:val="18"/>
          <w:lang w:val="el-GR"/>
        </w:rPr>
        <w:t xml:space="preserve">, Α. Μηχανισμός αυτο-αποτελεσματικότητας στην ανθρώπινη υπηρεσία. </w:t>
      </w:r>
      <w:r>
        <w:rPr>
          <w:rFonts w:ascii="Palatino Linotype" w:hAnsi="Palatino Linotype"/>
          <w:i/>
          <w:sz w:val="18"/>
        </w:rPr>
        <w:t xml:space="preserve">Am. Psychol. </w:t>
      </w:r>
      <w:r>
        <w:rPr>
          <w:b/>
          <w:sz w:val="18"/>
        </w:rPr>
        <w:t xml:space="preserve">1982, </w:t>
      </w:r>
      <w:r>
        <w:rPr>
          <w:sz w:val="18"/>
        </w:rPr>
        <w:t>37</w:t>
      </w:r>
      <w:r>
        <w:rPr>
          <w:rFonts w:ascii="Palatino Linotype" w:hAnsi="Palatino Linotype"/>
          <w:i/>
          <w:sz w:val="18"/>
        </w:rPr>
        <w:t xml:space="preserve">, </w:t>
      </w:r>
      <w:r>
        <w:rPr>
          <w:sz w:val="18"/>
        </w:rPr>
        <w:t>122–147. [</w:t>
      </w:r>
      <w:hyperlink r:id="rId60">
        <w:r>
          <w:rPr>
            <w:color w:val="0774B7"/>
            <w:sz w:val="18"/>
          </w:rPr>
          <w:t>CrossRef</w:t>
        </w:r>
      </w:hyperlink>
      <w:r>
        <w:rPr>
          <w:sz w:val="18"/>
        </w:rPr>
        <w:t>]</w:t>
      </w:r>
    </w:p>
    <w:p w14:paraId="1041220C" w14:textId="77777777" w:rsidR="00F5166D" w:rsidRPr="00D11C54" w:rsidRDefault="00623797">
      <w:pPr>
        <w:pStyle w:val="a5"/>
        <w:numPr>
          <w:ilvl w:val="0"/>
          <w:numId w:val="1"/>
        </w:numPr>
        <w:tabs>
          <w:tab w:val="left" w:pos="544"/>
          <w:tab w:val="left" w:pos="545"/>
        </w:tabs>
        <w:spacing w:before="5"/>
        <w:rPr>
          <w:sz w:val="18"/>
          <w:lang w:val="el-GR"/>
        </w:rPr>
      </w:pPr>
      <w:r>
        <w:rPr>
          <w:w w:val="105"/>
          <w:sz w:val="18"/>
        </w:rPr>
        <w:t>Bandura</w:t>
      </w:r>
      <w:r w:rsidRPr="00D11C54">
        <w:rPr>
          <w:w w:val="105"/>
          <w:sz w:val="18"/>
          <w:lang w:val="el-GR"/>
        </w:rPr>
        <w:t xml:space="preserve">, Α.; </w:t>
      </w:r>
      <w:r>
        <w:rPr>
          <w:w w:val="105"/>
          <w:sz w:val="18"/>
        </w:rPr>
        <w:t>Barbaranelli</w:t>
      </w:r>
      <w:r w:rsidRPr="00D11C54">
        <w:rPr>
          <w:w w:val="105"/>
          <w:sz w:val="18"/>
          <w:lang w:val="el-GR"/>
        </w:rPr>
        <w:t xml:space="preserve">, Γ.; </w:t>
      </w:r>
      <w:r>
        <w:rPr>
          <w:w w:val="105"/>
          <w:sz w:val="18"/>
        </w:rPr>
        <w:t>Caprara</w:t>
      </w:r>
      <w:r w:rsidRPr="00D11C54">
        <w:rPr>
          <w:w w:val="105"/>
          <w:sz w:val="18"/>
          <w:lang w:val="el-GR"/>
        </w:rPr>
        <w:t xml:space="preserve">, </w:t>
      </w:r>
      <w:r>
        <w:rPr>
          <w:w w:val="105"/>
          <w:sz w:val="18"/>
        </w:rPr>
        <w:t>G</w:t>
      </w:r>
      <w:r w:rsidRPr="00D11C54">
        <w:rPr>
          <w:w w:val="105"/>
          <w:sz w:val="18"/>
          <w:lang w:val="el-GR"/>
        </w:rPr>
        <w:t>.</w:t>
      </w:r>
      <w:r>
        <w:rPr>
          <w:w w:val="105"/>
          <w:sz w:val="18"/>
        </w:rPr>
        <w:t>V</w:t>
      </w:r>
      <w:r w:rsidRPr="00D11C54">
        <w:rPr>
          <w:w w:val="105"/>
          <w:sz w:val="18"/>
          <w:lang w:val="el-GR"/>
        </w:rPr>
        <w:t xml:space="preserve">.; </w:t>
      </w:r>
      <w:r>
        <w:rPr>
          <w:w w:val="105"/>
          <w:sz w:val="18"/>
        </w:rPr>
        <w:t>Pastorelli</w:t>
      </w:r>
      <w:r w:rsidRPr="00D11C54">
        <w:rPr>
          <w:w w:val="105"/>
          <w:sz w:val="18"/>
          <w:lang w:val="el-GR"/>
        </w:rPr>
        <w:t xml:space="preserve">, </w:t>
      </w:r>
      <w:r>
        <w:rPr>
          <w:w w:val="105"/>
          <w:sz w:val="18"/>
        </w:rPr>
        <w:t>C</w:t>
      </w:r>
      <w:r w:rsidRPr="00D11C54">
        <w:rPr>
          <w:w w:val="105"/>
          <w:sz w:val="18"/>
          <w:lang w:val="el-GR"/>
        </w:rPr>
        <w:t>. Πολύπλευρη επίδραση των πεποιθήσεων αυτο-αποτελεσματικότητας στην ακαδημαϊκή λειτουργία.</w:t>
      </w:r>
    </w:p>
    <w:p w14:paraId="2DC3D651" w14:textId="77777777" w:rsidR="00F5166D" w:rsidRDefault="00623797">
      <w:pPr>
        <w:spacing w:before="2" w:line="236" w:lineRule="exact"/>
        <w:ind w:left="538"/>
        <w:rPr>
          <w:sz w:val="18"/>
        </w:rPr>
      </w:pPr>
      <w:r>
        <w:rPr>
          <w:rFonts w:ascii="Palatino Linotype" w:hAnsi="Palatino Linotype"/>
          <w:i/>
          <w:w w:val="95"/>
          <w:sz w:val="18"/>
        </w:rPr>
        <w:t xml:space="preserve">Παιδί Dev. </w:t>
      </w:r>
      <w:r>
        <w:rPr>
          <w:b/>
          <w:w w:val="95"/>
          <w:sz w:val="18"/>
        </w:rPr>
        <w:t>1996</w:t>
      </w:r>
      <w:r>
        <w:rPr>
          <w:w w:val="95"/>
          <w:sz w:val="18"/>
        </w:rPr>
        <w:t xml:space="preserve">, </w:t>
      </w:r>
      <w:r>
        <w:rPr>
          <w:rFonts w:ascii="Palatino Linotype" w:hAnsi="Palatino Linotype"/>
          <w:i/>
          <w:w w:val="95"/>
          <w:sz w:val="18"/>
        </w:rPr>
        <w:t>67</w:t>
      </w:r>
      <w:r>
        <w:rPr>
          <w:w w:val="95"/>
          <w:sz w:val="18"/>
        </w:rPr>
        <w:t>, 1206–1222. [</w:t>
      </w:r>
      <w:hyperlink r:id="rId61">
        <w:r>
          <w:rPr>
            <w:color w:val="0774B7"/>
            <w:w w:val="95"/>
            <w:sz w:val="18"/>
          </w:rPr>
          <w:t>CrossRef</w:t>
        </w:r>
      </w:hyperlink>
      <w:r>
        <w:rPr>
          <w:w w:val="95"/>
          <w:sz w:val="18"/>
        </w:rPr>
        <w:t>]</w:t>
      </w:r>
    </w:p>
    <w:p w14:paraId="4D019E7E" w14:textId="77777777" w:rsidR="00F5166D" w:rsidRDefault="00623797">
      <w:pPr>
        <w:pStyle w:val="a5"/>
        <w:numPr>
          <w:ilvl w:val="0"/>
          <w:numId w:val="1"/>
        </w:numPr>
        <w:tabs>
          <w:tab w:val="left" w:pos="544"/>
          <w:tab w:val="left" w:pos="545"/>
        </w:tabs>
        <w:spacing w:line="244" w:lineRule="auto"/>
        <w:ind w:right="106"/>
        <w:rPr>
          <w:sz w:val="18"/>
        </w:rPr>
      </w:pPr>
      <w:r>
        <w:rPr>
          <w:w w:val="105"/>
          <w:sz w:val="18"/>
        </w:rPr>
        <w:t>Britner</w:t>
      </w:r>
      <w:r w:rsidRPr="00D11C54">
        <w:rPr>
          <w:w w:val="105"/>
          <w:sz w:val="18"/>
          <w:lang w:val="el-GR"/>
        </w:rPr>
        <w:t xml:space="preserve">, </w:t>
      </w:r>
      <w:r>
        <w:rPr>
          <w:w w:val="105"/>
          <w:sz w:val="18"/>
        </w:rPr>
        <w:t>SL</w:t>
      </w:r>
      <w:r w:rsidRPr="00D11C54">
        <w:rPr>
          <w:w w:val="105"/>
          <w:sz w:val="18"/>
          <w:lang w:val="el-GR"/>
        </w:rPr>
        <w:t xml:space="preserve">; </w:t>
      </w:r>
      <w:r>
        <w:rPr>
          <w:w w:val="105"/>
          <w:sz w:val="18"/>
        </w:rPr>
        <w:t>Pajares</w:t>
      </w:r>
      <w:r w:rsidRPr="00D11C54">
        <w:rPr>
          <w:w w:val="105"/>
          <w:sz w:val="18"/>
          <w:lang w:val="el-GR"/>
        </w:rPr>
        <w:t xml:space="preserve">, </w:t>
      </w:r>
      <w:r>
        <w:rPr>
          <w:w w:val="105"/>
          <w:sz w:val="18"/>
        </w:rPr>
        <w:t>F</w:t>
      </w:r>
      <w:r w:rsidRPr="00D11C54">
        <w:rPr>
          <w:w w:val="105"/>
          <w:sz w:val="18"/>
          <w:lang w:val="el-GR"/>
        </w:rPr>
        <w:t xml:space="preserve">. Πηγές των πεποιθήσεων αυτο-αποτελεσματικότητας της επιστήμης των μαθητών γυμνασίου. </w:t>
      </w:r>
      <w:r>
        <w:rPr>
          <w:rFonts w:ascii="Palatino Linotype" w:hAnsi="Palatino Linotype"/>
          <w:i/>
          <w:w w:val="105"/>
          <w:sz w:val="18"/>
        </w:rPr>
        <w:t xml:space="preserve">J. Res. Sci. Διδάσκω. </w:t>
      </w:r>
      <w:r>
        <w:rPr>
          <w:b/>
          <w:w w:val="105"/>
          <w:sz w:val="18"/>
        </w:rPr>
        <w:t>2006</w:t>
      </w:r>
      <w:r>
        <w:rPr>
          <w:w w:val="105"/>
          <w:sz w:val="18"/>
        </w:rPr>
        <w:t>, 43, 485–499. [</w:t>
      </w:r>
      <w:hyperlink r:id="rId62">
        <w:r>
          <w:rPr>
            <w:color w:val="0774B7"/>
            <w:w w:val="105"/>
            <w:sz w:val="18"/>
          </w:rPr>
          <w:t>CrossRef</w:t>
        </w:r>
      </w:hyperlink>
      <w:r>
        <w:rPr>
          <w:w w:val="105"/>
          <w:sz w:val="18"/>
        </w:rPr>
        <w:t>]</w:t>
      </w:r>
    </w:p>
    <w:p w14:paraId="522A2309" w14:textId="77777777" w:rsidR="00F5166D" w:rsidRPr="00D11C54" w:rsidRDefault="00623797">
      <w:pPr>
        <w:pStyle w:val="a5"/>
        <w:numPr>
          <w:ilvl w:val="0"/>
          <w:numId w:val="1"/>
        </w:numPr>
        <w:tabs>
          <w:tab w:val="left" w:pos="544"/>
          <w:tab w:val="left" w:pos="545"/>
        </w:tabs>
        <w:spacing w:before="8"/>
        <w:rPr>
          <w:sz w:val="18"/>
          <w:lang w:val="el-GR"/>
        </w:rPr>
      </w:pPr>
      <w:r>
        <w:rPr>
          <w:w w:val="105"/>
          <w:sz w:val="18"/>
        </w:rPr>
        <w:t>De</w:t>
      </w:r>
      <w:r w:rsidRPr="00D11C54">
        <w:rPr>
          <w:w w:val="105"/>
          <w:sz w:val="18"/>
          <w:lang w:val="el-GR"/>
        </w:rPr>
        <w:t xml:space="preserve"> </w:t>
      </w:r>
      <w:r>
        <w:rPr>
          <w:w w:val="105"/>
          <w:sz w:val="18"/>
        </w:rPr>
        <w:t>Caroli</w:t>
      </w:r>
      <w:r w:rsidRPr="00D11C54">
        <w:rPr>
          <w:w w:val="105"/>
          <w:sz w:val="18"/>
          <w:lang w:val="el-GR"/>
        </w:rPr>
        <w:t xml:space="preserve">, Μ.Ε.; </w:t>
      </w:r>
      <w:r>
        <w:rPr>
          <w:w w:val="105"/>
          <w:sz w:val="18"/>
        </w:rPr>
        <w:t>Sagone</w:t>
      </w:r>
      <w:r w:rsidRPr="00D11C54">
        <w:rPr>
          <w:w w:val="105"/>
          <w:sz w:val="18"/>
          <w:lang w:val="el-GR"/>
        </w:rPr>
        <w:t>, Ε. Γενικευμένη αυτο-αποτελεσματικότητα και ευεξία σε εφήβους με υψηλή έναντι χαμηλής σχολικής αυτο-αποτελεσματικότητας.</w:t>
      </w:r>
    </w:p>
    <w:p w14:paraId="358EF340" w14:textId="77777777" w:rsidR="00F5166D" w:rsidRPr="00D11C54" w:rsidRDefault="00623797">
      <w:pPr>
        <w:spacing w:before="2"/>
        <w:ind w:left="539"/>
        <w:jc w:val="both"/>
        <w:rPr>
          <w:sz w:val="18"/>
          <w:lang w:val="el-GR"/>
        </w:rPr>
      </w:pPr>
      <w:r>
        <w:rPr>
          <w:rFonts w:ascii="Palatino Linotype" w:hAnsi="Palatino Linotype"/>
          <w:i/>
          <w:sz w:val="18"/>
        </w:rPr>
        <w:t>Procedia</w:t>
      </w:r>
      <w:r w:rsidRPr="00D11C54">
        <w:rPr>
          <w:rFonts w:ascii="Palatino Linotype" w:hAnsi="Palatino Linotype"/>
          <w:i/>
          <w:sz w:val="18"/>
          <w:lang w:val="el-GR"/>
        </w:rPr>
        <w:t>-</w:t>
      </w:r>
      <w:r>
        <w:rPr>
          <w:rFonts w:ascii="Palatino Linotype" w:hAnsi="Palatino Linotype"/>
          <w:i/>
          <w:sz w:val="18"/>
        </w:rPr>
        <w:t>Soc</w:t>
      </w:r>
      <w:r w:rsidRPr="00D11C54">
        <w:rPr>
          <w:rFonts w:ascii="Palatino Linotype" w:hAnsi="Palatino Linotype"/>
          <w:i/>
          <w:sz w:val="18"/>
          <w:lang w:val="el-GR"/>
        </w:rPr>
        <w:t xml:space="preserve">. Συμπεριφέρομαι. Επιστ. </w:t>
      </w:r>
      <w:r w:rsidRPr="00D11C54">
        <w:rPr>
          <w:b/>
          <w:sz w:val="18"/>
          <w:lang w:val="el-GR"/>
        </w:rPr>
        <w:t>2014</w:t>
      </w:r>
      <w:r w:rsidRPr="00D11C54">
        <w:rPr>
          <w:sz w:val="18"/>
          <w:lang w:val="el-GR"/>
        </w:rPr>
        <w:t xml:space="preserve">, </w:t>
      </w:r>
      <w:r w:rsidRPr="00D11C54">
        <w:rPr>
          <w:rFonts w:ascii="Palatino Linotype" w:hAnsi="Palatino Linotype"/>
          <w:i/>
          <w:sz w:val="18"/>
          <w:lang w:val="el-GR"/>
        </w:rPr>
        <w:t>141</w:t>
      </w:r>
      <w:r w:rsidRPr="00D11C54">
        <w:rPr>
          <w:sz w:val="18"/>
          <w:lang w:val="el-GR"/>
        </w:rPr>
        <w:t>, 867–874. [</w:t>
      </w:r>
      <w:hyperlink r:id="rId63">
        <w:r>
          <w:rPr>
            <w:color w:val="0774B7"/>
            <w:sz w:val="18"/>
          </w:rPr>
          <w:t>CrossRef</w:t>
        </w:r>
      </w:hyperlink>
      <w:r w:rsidRPr="00D11C54">
        <w:rPr>
          <w:sz w:val="18"/>
          <w:lang w:val="el-GR"/>
        </w:rPr>
        <w:t>]</w:t>
      </w:r>
    </w:p>
    <w:p w14:paraId="4816B611" w14:textId="77777777" w:rsidR="00F5166D" w:rsidRDefault="00623797">
      <w:pPr>
        <w:pStyle w:val="a5"/>
        <w:numPr>
          <w:ilvl w:val="0"/>
          <w:numId w:val="1"/>
        </w:numPr>
        <w:tabs>
          <w:tab w:val="left" w:pos="545"/>
        </w:tabs>
        <w:spacing w:before="5" w:line="242" w:lineRule="auto"/>
        <w:ind w:right="106"/>
        <w:jc w:val="both"/>
        <w:rPr>
          <w:sz w:val="18"/>
        </w:rPr>
      </w:pPr>
      <w:r>
        <w:rPr>
          <w:w w:val="105"/>
          <w:sz w:val="18"/>
        </w:rPr>
        <w:t xml:space="preserve">Di Giunta, L.; Alessandri, Γ.; Gerbino, Μ.; Luengo Kanacri, Π.; Zuffiano, Α.; Caprara, Γ.Β. Οι καθοριστικοί παράγοντες του σχολικού </w:t>
      </w:r>
      <w:r>
        <w:rPr>
          <w:sz w:val="18"/>
        </w:rPr>
        <w:t xml:space="preserve">επιτεύγματος: Η συμβολή των χαρακτηριστικών της προσωπικότητας, της αυτοεκτίμησης και της ακαδημαϊκής αυτοαποτελεσματικότητας. </w:t>
      </w:r>
      <w:r>
        <w:rPr>
          <w:rFonts w:ascii="Palatino Linotype" w:hAnsi="Palatino Linotype"/>
          <w:i/>
          <w:sz w:val="18"/>
        </w:rPr>
        <w:t xml:space="preserve">Μαθαίνω. Ατομικό. Διαφέρω. </w:t>
      </w:r>
      <w:r>
        <w:rPr>
          <w:b/>
          <w:sz w:val="18"/>
        </w:rPr>
        <w:t>2013</w:t>
      </w:r>
      <w:r>
        <w:rPr>
          <w:sz w:val="18"/>
        </w:rPr>
        <w:t xml:space="preserve">, </w:t>
      </w:r>
      <w:r>
        <w:rPr>
          <w:rFonts w:ascii="Palatino Linotype" w:hAnsi="Palatino Linotype"/>
          <w:i/>
          <w:sz w:val="18"/>
        </w:rPr>
        <w:t>27</w:t>
      </w:r>
      <w:r>
        <w:rPr>
          <w:sz w:val="18"/>
        </w:rPr>
        <w:t xml:space="preserve">, 102–108. </w:t>
      </w:r>
      <w:r>
        <w:rPr>
          <w:w w:val="105"/>
          <w:sz w:val="18"/>
        </w:rPr>
        <w:t>[</w:t>
      </w:r>
      <w:hyperlink r:id="rId64">
        <w:r>
          <w:rPr>
            <w:color w:val="0774B7"/>
            <w:w w:val="105"/>
            <w:sz w:val="18"/>
          </w:rPr>
          <w:t>CrossRef</w:t>
        </w:r>
      </w:hyperlink>
      <w:r>
        <w:rPr>
          <w:w w:val="105"/>
          <w:sz w:val="18"/>
        </w:rPr>
        <w:t>]</w:t>
      </w:r>
    </w:p>
    <w:p w14:paraId="2A537F85" w14:textId="77777777" w:rsidR="00F5166D" w:rsidRDefault="00623797">
      <w:pPr>
        <w:pStyle w:val="a5"/>
        <w:numPr>
          <w:ilvl w:val="0"/>
          <w:numId w:val="1"/>
        </w:numPr>
        <w:tabs>
          <w:tab w:val="left" w:pos="545"/>
        </w:tabs>
        <w:spacing w:before="1"/>
        <w:jc w:val="both"/>
        <w:rPr>
          <w:sz w:val="18"/>
        </w:rPr>
      </w:pPr>
      <w:bookmarkStart w:id="63" w:name="_bookmark47"/>
      <w:bookmarkEnd w:id="63"/>
      <w:r>
        <w:rPr>
          <w:spacing w:val="-1"/>
          <w:w w:val="105"/>
          <w:sz w:val="18"/>
        </w:rPr>
        <w:t xml:space="preserve">Pajares, Φ.; Ουρντάν, T.C. </w:t>
      </w:r>
      <w:r>
        <w:rPr>
          <w:rFonts w:ascii="Palatino Linotype"/>
          <w:i/>
          <w:spacing w:val="-1"/>
          <w:w w:val="105"/>
          <w:sz w:val="18"/>
        </w:rPr>
        <w:t>ακαδημαϊκά</w:t>
      </w:r>
      <w:r>
        <w:rPr>
          <w:rFonts w:ascii="Palatino Linotype"/>
          <w:i/>
          <w:spacing w:val="-1"/>
          <w:w w:val="105"/>
          <w:sz w:val="18"/>
        </w:rPr>
        <w:t xml:space="preserve"> </w:t>
      </w:r>
      <w:r>
        <w:rPr>
          <w:rFonts w:ascii="Palatino Linotype"/>
          <w:i/>
          <w:spacing w:val="-1"/>
          <w:w w:val="105"/>
          <w:sz w:val="18"/>
        </w:rPr>
        <w:t>κίνητρα</w:t>
      </w:r>
      <w:r>
        <w:rPr>
          <w:rFonts w:ascii="Palatino Linotype"/>
          <w:i/>
          <w:spacing w:val="-1"/>
          <w:w w:val="105"/>
          <w:sz w:val="18"/>
        </w:rPr>
        <w:t xml:space="preserve"> </w:t>
      </w:r>
      <w:r>
        <w:rPr>
          <w:rFonts w:ascii="Palatino Linotype"/>
          <w:i/>
          <w:spacing w:val="-1"/>
          <w:w w:val="105"/>
          <w:sz w:val="18"/>
        </w:rPr>
        <w:t>των</w:t>
      </w:r>
      <w:r>
        <w:rPr>
          <w:rFonts w:ascii="Palatino Linotype"/>
          <w:i/>
          <w:spacing w:val="-1"/>
          <w:w w:val="105"/>
          <w:sz w:val="18"/>
        </w:rPr>
        <w:t xml:space="preserve"> </w:t>
      </w:r>
      <w:r>
        <w:rPr>
          <w:rFonts w:ascii="Palatino Linotype"/>
          <w:i/>
          <w:spacing w:val="-1"/>
          <w:w w:val="105"/>
          <w:sz w:val="18"/>
        </w:rPr>
        <w:t>εφήβων</w:t>
      </w:r>
      <w:r>
        <w:rPr>
          <w:spacing w:val="-1"/>
          <w:w w:val="105"/>
          <w:sz w:val="18"/>
        </w:rPr>
        <w:t>. Information Age Pub.: Greenwich, CT, ΗΠΑ, 2002; σ. x, 372.</w:t>
      </w:r>
    </w:p>
    <w:p w14:paraId="604FE6E2" w14:textId="77777777" w:rsidR="00F5166D" w:rsidRDefault="00623797">
      <w:pPr>
        <w:pStyle w:val="a5"/>
        <w:numPr>
          <w:ilvl w:val="0"/>
          <w:numId w:val="1"/>
        </w:numPr>
        <w:tabs>
          <w:tab w:val="left" w:pos="545"/>
        </w:tabs>
        <w:spacing w:before="5"/>
        <w:jc w:val="both"/>
        <w:rPr>
          <w:sz w:val="18"/>
        </w:rPr>
      </w:pPr>
      <w:r>
        <w:rPr>
          <w:w w:val="105"/>
          <w:sz w:val="18"/>
        </w:rPr>
        <w:t>Pajares, Φ.; Valiante, G. Η αυτο-αποτελεσματικότητα των μαθητών στις αυτορυθμιζόμενες στρατηγικές μάθησης: μια αναπτυξιακή προοπτική.</w:t>
      </w:r>
    </w:p>
    <w:p w14:paraId="74595692" w14:textId="77777777" w:rsidR="00F5166D" w:rsidRDefault="00623797">
      <w:pPr>
        <w:spacing w:before="1"/>
        <w:ind w:left="539"/>
        <w:jc w:val="both"/>
        <w:rPr>
          <w:sz w:val="18"/>
        </w:rPr>
      </w:pPr>
      <w:bookmarkStart w:id="64" w:name="_bookmark48"/>
      <w:bookmarkEnd w:id="64"/>
      <w:r>
        <w:rPr>
          <w:rFonts w:ascii="Palatino Linotype" w:hAnsi="Palatino Linotype"/>
          <w:i/>
          <w:w w:val="95"/>
          <w:sz w:val="18"/>
        </w:rPr>
        <w:t xml:space="preserve">Ψυχολογία </w:t>
      </w:r>
      <w:r>
        <w:rPr>
          <w:b/>
          <w:w w:val="95"/>
          <w:sz w:val="18"/>
        </w:rPr>
        <w:t>2002</w:t>
      </w:r>
      <w:r>
        <w:rPr>
          <w:w w:val="95"/>
          <w:sz w:val="18"/>
        </w:rPr>
        <w:t xml:space="preserve">, </w:t>
      </w:r>
      <w:r>
        <w:rPr>
          <w:rFonts w:ascii="Palatino Linotype" w:hAnsi="Palatino Linotype"/>
          <w:i/>
          <w:w w:val="95"/>
          <w:sz w:val="18"/>
        </w:rPr>
        <w:t>45</w:t>
      </w:r>
      <w:r>
        <w:rPr>
          <w:w w:val="95"/>
          <w:sz w:val="18"/>
        </w:rPr>
        <w:t>, 211–221. [</w:t>
      </w:r>
      <w:hyperlink r:id="rId65">
        <w:r>
          <w:rPr>
            <w:color w:val="0774B7"/>
            <w:w w:val="95"/>
            <w:sz w:val="18"/>
          </w:rPr>
          <w:t>CrossRef</w:t>
        </w:r>
      </w:hyperlink>
      <w:r>
        <w:rPr>
          <w:w w:val="95"/>
          <w:sz w:val="18"/>
        </w:rPr>
        <w:t>]</w:t>
      </w:r>
    </w:p>
    <w:p w14:paraId="225B2384" w14:textId="77777777" w:rsidR="00F5166D" w:rsidRDefault="00623797">
      <w:pPr>
        <w:pStyle w:val="a5"/>
        <w:numPr>
          <w:ilvl w:val="0"/>
          <w:numId w:val="1"/>
        </w:numPr>
        <w:tabs>
          <w:tab w:val="left" w:pos="544"/>
          <w:tab w:val="left" w:pos="545"/>
        </w:tabs>
        <w:spacing w:before="5"/>
        <w:ind w:right="138"/>
        <w:rPr>
          <w:sz w:val="18"/>
        </w:rPr>
      </w:pPr>
      <w:r>
        <w:rPr>
          <w:w w:val="105"/>
          <w:sz w:val="18"/>
        </w:rPr>
        <w:t xml:space="preserve">Χάμπτον, Ν.Ζ.; Mason, E. Μαθησιακές δυσκολίες, φύλο, πηγές αποτελεσματικότητας, πεποιθήσεις αυτο-αποτελεσματικότητας και ακαδημαϊκά επιτεύγματα σε μαθητές γυμνασίου. </w:t>
      </w:r>
      <w:bookmarkStart w:id="65" w:name="_bookmark49"/>
      <w:bookmarkEnd w:id="65"/>
      <w:r>
        <w:rPr>
          <w:rFonts w:ascii="Palatino Linotype" w:hAnsi="Palatino Linotype"/>
          <w:i/>
          <w:w w:val="105"/>
          <w:sz w:val="18"/>
        </w:rPr>
        <w:t xml:space="preserve">J. Sch. Psychol. </w:t>
      </w:r>
      <w:r>
        <w:rPr>
          <w:b/>
          <w:w w:val="105"/>
          <w:sz w:val="18"/>
        </w:rPr>
        <w:t>2003</w:t>
      </w:r>
      <w:r>
        <w:rPr>
          <w:w w:val="105"/>
          <w:sz w:val="18"/>
        </w:rPr>
        <w:t xml:space="preserve">, </w:t>
      </w:r>
      <w:r>
        <w:rPr>
          <w:rFonts w:ascii="Palatino Linotype" w:hAnsi="Palatino Linotype"/>
          <w:i/>
          <w:w w:val="105"/>
          <w:sz w:val="18"/>
        </w:rPr>
        <w:t>41</w:t>
      </w:r>
      <w:r>
        <w:rPr>
          <w:w w:val="105"/>
          <w:sz w:val="18"/>
        </w:rPr>
        <w:t>, 101–112. [</w:t>
      </w:r>
      <w:hyperlink r:id="rId66">
        <w:r>
          <w:rPr>
            <w:color w:val="0774B7"/>
            <w:w w:val="105"/>
            <w:sz w:val="18"/>
          </w:rPr>
          <w:t>CrossRef</w:t>
        </w:r>
      </w:hyperlink>
      <w:r>
        <w:rPr>
          <w:w w:val="105"/>
          <w:sz w:val="18"/>
        </w:rPr>
        <w:t>]</w:t>
      </w:r>
    </w:p>
    <w:p w14:paraId="1D6E37D3" w14:textId="77777777" w:rsidR="00F5166D" w:rsidRDefault="00623797">
      <w:pPr>
        <w:pStyle w:val="a5"/>
        <w:numPr>
          <w:ilvl w:val="0"/>
          <w:numId w:val="1"/>
        </w:numPr>
        <w:tabs>
          <w:tab w:val="left" w:pos="544"/>
          <w:tab w:val="left" w:pos="545"/>
        </w:tabs>
        <w:spacing w:line="228" w:lineRule="auto"/>
        <w:ind w:left="537" w:right="115" w:hanging="424"/>
        <w:rPr>
          <w:sz w:val="18"/>
        </w:rPr>
      </w:pPr>
      <w:r>
        <w:rPr>
          <w:w w:val="105"/>
          <w:sz w:val="18"/>
        </w:rPr>
        <w:t xml:space="preserve">Klassen, Ρ.Μ. Ένα ζήτημα βαθμονόμησης: Μια ανασκόπηση των πεποιθήσεων αυτο-αποτελεσματικότητας των μαθητών με μαθησιακές δυσκολίες. </w:t>
      </w:r>
      <w:r>
        <w:rPr>
          <w:rFonts w:ascii="Palatino Linotype" w:hAnsi="Palatino Linotype"/>
          <w:i/>
          <w:w w:val="105"/>
          <w:sz w:val="18"/>
        </w:rPr>
        <w:t xml:space="preserve">Μαθαίνω. Ντισαμπίλ. Ερ. </w:t>
      </w:r>
      <w:r>
        <w:rPr>
          <w:b/>
          <w:w w:val="105"/>
          <w:sz w:val="18"/>
        </w:rPr>
        <w:t>2002</w:t>
      </w:r>
      <w:r>
        <w:rPr>
          <w:w w:val="105"/>
          <w:sz w:val="18"/>
        </w:rPr>
        <w:t xml:space="preserve">, </w:t>
      </w:r>
      <w:r>
        <w:rPr>
          <w:rFonts w:ascii="Palatino Linotype" w:hAnsi="Palatino Linotype"/>
          <w:i/>
          <w:w w:val="105"/>
          <w:sz w:val="18"/>
        </w:rPr>
        <w:t>25</w:t>
      </w:r>
      <w:r>
        <w:rPr>
          <w:w w:val="105"/>
          <w:sz w:val="18"/>
        </w:rPr>
        <w:t>, 88–102. [</w:t>
      </w:r>
      <w:hyperlink r:id="rId67">
        <w:r>
          <w:rPr>
            <w:color w:val="0774B7"/>
            <w:w w:val="105"/>
            <w:sz w:val="18"/>
          </w:rPr>
          <w:t>CrossRef</w:t>
        </w:r>
      </w:hyperlink>
      <w:r>
        <w:rPr>
          <w:w w:val="105"/>
          <w:sz w:val="18"/>
        </w:rPr>
        <w:t>]</w:t>
      </w:r>
    </w:p>
    <w:p w14:paraId="28606E53" w14:textId="77777777" w:rsidR="00F5166D" w:rsidRDefault="00623797">
      <w:pPr>
        <w:pStyle w:val="a5"/>
        <w:numPr>
          <w:ilvl w:val="0"/>
          <w:numId w:val="1"/>
        </w:numPr>
        <w:tabs>
          <w:tab w:val="left" w:pos="544"/>
          <w:tab w:val="left" w:pos="545"/>
        </w:tabs>
        <w:spacing w:before="6"/>
        <w:rPr>
          <w:sz w:val="18"/>
        </w:rPr>
      </w:pPr>
      <w:r>
        <w:rPr>
          <w:w w:val="105"/>
          <w:sz w:val="18"/>
        </w:rPr>
        <w:t>Klassen, R.M. Χρησιμοποιώντας προβλέψεις για να μάθετε για την αυτο-αποτελεσματικότητα των πρώιμων εφήβων με και χωρίς μαθησιακές δυσκολίες.</w:t>
      </w:r>
    </w:p>
    <w:p w14:paraId="1675235F" w14:textId="77777777" w:rsidR="00F5166D" w:rsidRDefault="00623797">
      <w:pPr>
        <w:spacing w:before="1"/>
        <w:ind w:left="538"/>
        <w:rPr>
          <w:sz w:val="18"/>
        </w:rPr>
      </w:pPr>
      <w:bookmarkStart w:id="66" w:name="_bookmark50"/>
      <w:bookmarkEnd w:id="66"/>
      <w:r>
        <w:rPr>
          <w:rFonts w:ascii="Palatino Linotype" w:hAnsi="Palatino Linotype"/>
          <w:i/>
          <w:sz w:val="18"/>
        </w:rPr>
        <w:t xml:space="preserve">Contemp. Educ. Psychol. </w:t>
      </w:r>
      <w:r>
        <w:rPr>
          <w:b/>
          <w:sz w:val="18"/>
        </w:rPr>
        <w:t>2007</w:t>
      </w:r>
      <w:r>
        <w:rPr>
          <w:sz w:val="18"/>
        </w:rPr>
        <w:t xml:space="preserve">, </w:t>
      </w:r>
      <w:r>
        <w:rPr>
          <w:rFonts w:ascii="Palatino Linotype" w:hAnsi="Palatino Linotype"/>
          <w:i/>
          <w:sz w:val="18"/>
        </w:rPr>
        <w:t>32</w:t>
      </w:r>
      <w:r>
        <w:rPr>
          <w:sz w:val="18"/>
        </w:rPr>
        <w:t>, 173–187. [</w:t>
      </w:r>
      <w:hyperlink r:id="rId68">
        <w:r>
          <w:rPr>
            <w:color w:val="0774B7"/>
            <w:sz w:val="18"/>
          </w:rPr>
          <w:t>CrossRef</w:t>
        </w:r>
      </w:hyperlink>
      <w:r>
        <w:rPr>
          <w:sz w:val="18"/>
        </w:rPr>
        <w:t>]</w:t>
      </w:r>
    </w:p>
    <w:p w14:paraId="26DAB65A" w14:textId="77777777" w:rsidR="00F5166D" w:rsidRDefault="00623797">
      <w:pPr>
        <w:pStyle w:val="a5"/>
        <w:numPr>
          <w:ilvl w:val="0"/>
          <w:numId w:val="1"/>
        </w:numPr>
        <w:tabs>
          <w:tab w:val="left" w:pos="544"/>
          <w:tab w:val="left" w:pos="545"/>
        </w:tabs>
        <w:spacing w:before="5"/>
        <w:ind w:right="138"/>
        <w:rPr>
          <w:sz w:val="18"/>
        </w:rPr>
      </w:pPr>
      <w:r>
        <w:rPr>
          <w:sz w:val="18"/>
        </w:rPr>
        <w:t xml:space="preserve">Klassen, R.M. Εμπιστοσύνη στη διαχείριση της μάθησης: Η αυτο-αποτελεσματικότητα για αυτορυθμιζόμενη μάθηση των πρώιμων εφήβων με μαθησιακές δυσκολίες. </w:t>
      </w:r>
      <w:bookmarkStart w:id="67" w:name="_bookmark51"/>
      <w:bookmarkEnd w:id="67"/>
      <w:r>
        <w:rPr>
          <w:rFonts w:ascii="Palatino Linotype" w:hAnsi="Palatino Linotype"/>
          <w:i/>
          <w:sz w:val="18"/>
        </w:rPr>
        <w:t xml:space="preserve">Μαθαίνω. Ντισαμπίλ. Ερ. </w:t>
      </w:r>
      <w:r>
        <w:rPr>
          <w:b/>
          <w:sz w:val="18"/>
        </w:rPr>
        <w:t xml:space="preserve">2010, </w:t>
      </w:r>
      <w:r>
        <w:rPr>
          <w:sz w:val="18"/>
        </w:rPr>
        <w:t>33</w:t>
      </w:r>
      <w:r>
        <w:rPr>
          <w:rFonts w:ascii="Palatino Linotype" w:hAnsi="Palatino Linotype"/>
          <w:i/>
          <w:sz w:val="18"/>
        </w:rPr>
        <w:t xml:space="preserve">, </w:t>
      </w:r>
      <w:r>
        <w:rPr>
          <w:sz w:val="18"/>
        </w:rPr>
        <w:t>19–30. [</w:t>
      </w:r>
      <w:hyperlink r:id="rId69">
        <w:r>
          <w:rPr>
            <w:color w:val="0774B7"/>
            <w:sz w:val="18"/>
          </w:rPr>
          <w:t>CrossRef</w:t>
        </w:r>
      </w:hyperlink>
      <w:r>
        <w:rPr>
          <w:sz w:val="18"/>
        </w:rPr>
        <w:t>]</w:t>
      </w:r>
    </w:p>
    <w:p w14:paraId="2F924F12" w14:textId="77777777" w:rsidR="00F5166D" w:rsidRDefault="00623797">
      <w:pPr>
        <w:pStyle w:val="a5"/>
        <w:numPr>
          <w:ilvl w:val="0"/>
          <w:numId w:val="1"/>
        </w:numPr>
        <w:tabs>
          <w:tab w:val="left" w:pos="544"/>
          <w:tab w:val="left" w:pos="545"/>
        </w:tabs>
        <w:spacing w:before="7"/>
        <w:ind w:right="138"/>
        <w:rPr>
          <w:sz w:val="18"/>
        </w:rPr>
      </w:pPr>
      <w:r>
        <w:rPr>
          <w:sz w:val="18"/>
        </w:rPr>
        <w:t xml:space="preserve">Κότα, Μ.; Goroshit, M. Ακαδημαϊκή αναβλητικότητα, συναισθηματική νοημοσύνη, ακαδημαϊκή αυτο-αποτελεσματικότητα και ΣΔΣ: Μια σύγκριση μεταξύ </w:t>
      </w:r>
      <w:bookmarkStart w:id="68" w:name="_bookmark52"/>
      <w:bookmarkEnd w:id="68"/>
      <w:r>
        <w:rPr>
          <w:w w:val="105"/>
          <w:sz w:val="18"/>
        </w:rPr>
        <w:t xml:space="preserve">μαθητών με και χωρίς μαθησιακές δυσκολίες. </w:t>
      </w:r>
      <w:r>
        <w:rPr>
          <w:rFonts w:ascii="Palatino Linotype" w:hAnsi="Palatino Linotype"/>
          <w:i/>
          <w:w w:val="105"/>
          <w:sz w:val="18"/>
        </w:rPr>
        <w:t xml:space="preserve">J. Μάθετε. Ντισαμπίλ. </w:t>
      </w:r>
      <w:r>
        <w:rPr>
          <w:b/>
          <w:w w:val="105"/>
          <w:sz w:val="18"/>
        </w:rPr>
        <w:t>2014</w:t>
      </w:r>
      <w:r>
        <w:rPr>
          <w:w w:val="105"/>
          <w:sz w:val="18"/>
        </w:rPr>
        <w:t xml:space="preserve">, </w:t>
      </w:r>
      <w:r>
        <w:rPr>
          <w:rFonts w:ascii="Palatino Linotype" w:hAnsi="Palatino Linotype"/>
          <w:i/>
          <w:w w:val="105"/>
          <w:sz w:val="18"/>
        </w:rPr>
        <w:t>47</w:t>
      </w:r>
      <w:r>
        <w:rPr>
          <w:w w:val="105"/>
          <w:sz w:val="18"/>
        </w:rPr>
        <w:t>, 116–124. [</w:t>
      </w:r>
      <w:hyperlink r:id="rId70">
        <w:r>
          <w:rPr>
            <w:color w:val="0774B7"/>
            <w:w w:val="105"/>
            <w:sz w:val="18"/>
          </w:rPr>
          <w:t>CrossRef</w:t>
        </w:r>
      </w:hyperlink>
      <w:r>
        <w:rPr>
          <w:w w:val="105"/>
          <w:sz w:val="18"/>
        </w:rPr>
        <w:t>]</w:t>
      </w:r>
    </w:p>
    <w:p w14:paraId="1AF03E1B" w14:textId="77777777" w:rsidR="00F5166D" w:rsidRDefault="00623797">
      <w:pPr>
        <w:pStyle w:val="a5"/>
        <w:numPr>
          <w:ilvl w:val="0"/>
          <w:numId w:val="1"/>
        </w:numPr>
        <w:tabs>
          <w:tab w:val="left" w:pos="544"/>
          <w:tab w:val="left" w:pos="545"/>
        </w:tabs>
        <w:spacing w:line="231" w:lineRule="exact"/>
        <w:rPr>
          <w:sz w:val="18"/>
        </w:rPr>
      </w:pPr>
      <w:r>
        <w:rPr>
          <w:w w:val="105"/>
          <w:sz w:val="18"/>
        </w:rPr>
        <w:t xml:space="preserve">Flavell, J.H. Μεταγνώση και γνωστική παρακολούθηση: Ένας νέος τομέας γνωστικής-αναπτυξιακής έρευνας. </w:t>
      </w:r>
      <w:r>
        <w:rPr>
          <w:rFonts w:ascii="Palatino Linotype"/>
          <w:i/>
          <w:w w:val="105"/>
          <w:sz w:val="18"/>
        </w:rPr>
        <w:t xml:space="preserve">Am. Psychol. </w:t>
      </w:r>
      <w:r>
        <w:rPr>
          <w:b/>
          <w:w w:val="105"/>
          <w:sz w:val="18"/>
        </w:rPr>
        <w:t>1979</w:t>
      </w:r>
      <w:r>
        <w:rPr>
          <w:w w:val="105"/>
          <w:sz w:val="18"/>
        </w:rPr>
        <w:t xml:space="preserve">, </w:t>
      </w:r>
      <w:r>
        <w:rPr>
          <w:rFonts w:ascii="Palatino Linotype"/>
          <w:i/>
          <w:w w:val="105"/>
          <w:sz w:val="18"/>
        </w:rPr>
        <w:t>34</w:t>
      </w:r>
      <w:r>
        <w:rPr>
          <w:w w:val="105"/>
          <w:sz w:val="18"/>
        </w:rPr>
        <w:t>,</w:t>
      </w:r>
    </w:p>
    <w:p w14:paraId="0D8B601D" w14:textId="77777777" w:rsidR="00F5166D" w:rsidRDefault="00623797">
      <w:pPr>
        <w:spacing w:before="5"/>
        <w:ind w:left="544"/>
        <w:rPr>
          <w:sz w:val="18"/>
        </w:rPr>
      </w:pPr>
      <w:bookmarkStart w:id="69" w:name="_bookmark53"/>
      <w:bookmarkEnd w:id="69"/>
      <w:r>
        <w:rPr>
          <w:w w:val="95"/>
          <w:sz w:val="18"/>
        </w:rPr>
        <w:t>906–911. [</w:t>
      </w:r>
      <w:hyperlink r:id="rId71">
        <w:r>
          <w:rPr>
            <w:color w:val="0774B7"/>
            <w:w w:val="95"/>
            <w:sz w:val="18"/>
          </w:rPr>
          <w:t>CrossRef</w:t>
        </w:r>
      </w:hyperlink>
      <w:r>
        <w:rPr>
          <w:w w:val="95"/>
          <w:sz w:val="18"/>
        </w:rPr>
        <w:t>]</w:t>
      </w:r>
    </w:p>
    <w:p w14:paraId="36F2E4E5" w14:textId="77777777" w:rsidR="00F5166D" w:rsidRDefault="00623797">
      <w:pPr>
        <w:pStyle w:val="a5"/>
        <w:numPr>
          <w:ilvl w:val="0"/>
          <w:numId w:val="1"/>
        </w:numPr>
        <w:tabs>
          <w:tab w:val="left" w:pos="545"/>
        </w:tabs>
        <w:spacing w:before="1" w:line="236" w:lineRule="exact"/>
        <w:jc w:val="both"/>
        <w:rPr>
          <w:sz w:val="18"/>
        </w:rPr>
      </w:pPr>
      <w:bookmarkStart w:id="70" w:name="_bookmark54"/>
      <w:bookmarkEnd w:id="70"/>
      <w:r>
        <w:rPr>
          <w:sz w:val="18"/>
        </w:rPr>
        <w:t xml:space="preserve">Senemoglu, Ν. </w:t>
      </w:r>
      <w:r>
        <w:rPr>
          <w:rFonts w:ascii="Palatino Linotype"/>
          <w:i/>
          <w:sz w:val="18"/>
        </w:rPr>
        <w:t>Ανάπτυξη</w:t>
      </w:r>
      <w:r>
        <w:rPr>
          <w:rFonts w:ascii="Palatino Linotype"/>
          <w:i/>
          <w:sz w:val="18"/>
        </w:rPr>
        <w:t xml:space="preserve">, </w:t>
      </w:r>
      <w:r>
        <w:rPr>
          <w:rFonts w:ascii="Palatino Linotype"/>
          <w:i/>
          <w:sz w:val="18"/>
        </w:rPr>
        <w:t>μάθηση</w:t>
      </w:r>
      <w:r>
        <w:rPr>
          <w:rFonts w:ascii="Palatino Linotype"/>
          <w:i/>
          <w:sz w:val="18"/>
        </w:rPr>
        <w:t xml:space="preserve"> </w:t>
      </w:r>
      <w:r>
        <w:rPr>
          <w:rFonts w:ascii="Palatino Linotype"/>
          <w:i/>
          <w:sz w:val="18"/>
        </w:rPr>
        <w:t>και</w:t>
      </w:r>
      <w:r>
        <w:rPr>
          <w:rFonts w:ascii="Palatino Linotype"/>
          <w:i/>
          <w:sz w:val="18"/>
        </w:rPr>
        <w:t xml:space="preserve"> </w:t>
      </w:r>
      <w:r>
        <w:rPr>
          <w:rFonts w:ascii="Palatino Linotype"/>
          <w:i/>
          <w:sz w:val="18"/>
        </w:rPr>
        <w:t>διδασκαλία</w:t>
      </w:r>
      <w:r>
        <w:rPr>
          <w:rFonts w:ascii="Palatino Linotype"/>
          <w:i/>
          <w:sz w:val="18"/>
        </w:rPr>
        <w:t xml:space="preserve">: </w:t>
      </w:r>
      <w:r>
        <w:rPr>
          <w:rFonts w:ascii="Palatino Linotype"/>
          <w:i/>
          <w:sz w:val="18"/>
        </w:rPr>
        <w:t>από</w:t>
      </w:r>
      <w:r>
        <w:rPr>
          <w:rFonts w:ascii="Palatino Linotype"/>
          <w:i/>
          <w:sz w:val="18"/>
        </w:rPr>
        <w:t xml:space="preserve"> </w:t>
      </w:r>
      <w:r>
        <w:rPr>
          <w:rFonts w:ascii="Palatino Linotype"/>
          <w:i/>
          <w:sz w:val="18"/>
        </w:rPr>
        <w:t>τη</w:t>
      </w:r>
      <w:r>
        <w:rPr>
          <w:rFonts w:ascii="Palatino Linotype"/>
          <w:i/>
          <w:sz w:val="18"/>
        </w:rPr>
        <w:t xml:space="preserve"> </w:t>
      </w:r>
      <w:r>
        <w:rPr>
          <w:rFonts w:ascii="Palatino Linotype"/>
          <w:i/>
          <w:sz w:val="18"/>
        </w:rPr>
        <w:t>θεωρία</w:t>
      </w:r>
      <w:r>
        <w:rPr>
          <w:rFonts w:ascii="Palatino Linotype"/>
          <w:i/>
          <w:sz w:val="18"/>
        </w:rPr>
        <w:t xml:space="preserve"> </w:t>
      </w:r>
      <w:r>
        <w:rPr>
          <w:rFonts w:ascii="Palatino Linotype"/>
          <w:i/>
          <w:sz w:val="18"/>
        </w:rPr>
        <w:t>στην</w:t>
      </w:r>
      <w:r>
        <w:rPr>
          <w:rFonts w:ascii="Palatino Linotype"/>
          <w:i/>
          <w:sz w:val="18"/>
        </w:rPr>
        <w:t xml:space="preserve"> </w:t>
      </w:r>
      <w:r>
        <w:rPr>
          <w:rFonts w:ascii="Palatino Linotype"/>
          <w:i/>
          <w:sz w:val="18"/>
        </w:rPr>
        <w:t>πράξη</w:t>
      </w:r>
      <w:r>
        <w:rPr>
          <w:sz w:val="18"/>
        </w:rPr>
        <w:t>. Βιβλιοπωλείο Γκάζι: Άγκυρα, Τουρκία, 2004.</w:t>
      </w:r>
    </w:p>
    <w:p w14:paraId="1F43ED0D" w14:textId="77777777" w:rsidR="00F5166D" w:rsidRDefault="00623797">
      <w:pPr>
        <w:pStyle w:val="a5"/>
        <w:numPr>
          <w:ilvl w:val="0"/>
          <w:numId w:val="1"/>
        </w:numPr>
        <w:tabs>
          <w:tab w:val="left" w:pos="545"/>
        </w:tabs>
        <w:spacing w:before="3" w:line="228" w:lineRule="auto"/>
        <w:ind w:left="537" w:right="115" w:hanging="424"/>
        <w:jc w:val="both"/>
        <w:rPr>
          <w:sz w:val="18"/>
        </w:rPr>
      </w:pPr>
      <w:r>
        <w:rPr>
          <w:sz w:val="18"/>
        </w:rPr>
        <w:t xml:space="preserve">Amzil, Α. Η επίδραση μιας μεταγνωστικής παρέμβασης στις αναγνωστικές επιδόσεις και τις μεταγνωστικές δεξιότητες των φοιτητών. </w:t>
      </w:r>
      <w:r>
        <w:rPr>
          <w:rFonts w:ascii="Palatino Linotype" w:hAnsi="Palatino Linotype"/>
          <w:i/>
          <w:sz w:val="18"/>
        </w:rPr>
        <w:t xml:space="preserve">J. Educ. Dev. Psychol. </w:t>
      </w:r>
      <w:r>
        <w:rPr>
          <w:b/>
          <w:sz w:val="18"/>
        </w:rPr>
        <w:t>2014</w:t>
      </w:r>
      <w:r>
        <w:rPr>
          <w:sz w:val="18"/>
        </w:rPr>
        <w:t xml:space="preserve">, </w:t>
      </w:r>
      <w:r>
        <w:rPr>
          <w:rFonts w:ascii="Palatino Linotype" w:hAnsi="Palatino Linotype"/>
          <w:i/>
          <w:sz w:val="18"/>
        </w:rPr>
        <w:t>4</w:t>
      </w:r>
      <w:r>
        <w:rPr>
          <w:sz w:val="18"/>
        </w:rPr>
        <w:t>, 27. [</w:t>
      </w:r>
      <w:hyperlink r:id="rId72">
        <w:r>
          <w:rPr>
            <w:color w:val="0774B7"/>
            <w:sz w:val="18"/>
          </w:rPr>
          <w:t>CrossRef</w:t>
        </w:r>
      </w:hyperlink>
      <w:r>
        <w:rPr>
          <w:sz w:val="18"/>
        </w:rPr>
        <w:t>]</w:t>
      </w:r>
    </w:p>
    <w:p w14:paraId="0BE9C69F" w14:textId="77777777" w:rsidR="00F5166D" w:rsidRDefault="00623797">
      <w:pPr>
        <w:pStyle w:val="a5"/>
        <w:numPr>
          <w:ilvl w:val="0"/>
          <w:numId w:val="1"/>
        </w:numPr>
        <w:tabs>
          <w:tab w:val="left" w:pos="545"/>
        </w:tabs>
        <w:spacing w:before="7" w:line="252" w:lineRule="auto"/>
        <w:ind w:right="137"/>
        <w:jc w:val="both"/>
        <w:rPr>
          <w:sz w:val="18"/>
        </w:rPr>
      </w:pPr>
      <w:r>
        <w:rPr>
          <w:w w:val="105"/>
          <w:sz w:val="18"/>
        </w:rPr>
        <w:t xml:space="preserve">Chevalier, Τ.Μ.; Parrila, Ρ.; Ritchie, Κ.Κ.; Διάκονος, Σ.Χ. Ο ρόλος των μεταγνωστικών στρατηγικών ανάγνωσης, των στρατηγικών μεταγνωστικής μελέτης </w:t>
      </w:r>
      <w:r>
        <w:rPr>
          <w:sz w:val="18"/>
        </w:rPr>
        <w:t xml:space="preserve"> και μάθησης και των στρατηγικών μελέτης και μάθησης συμπεριφοράς στην πρόβλεψη της ακαδημαϊκής επιτυχίας σε μαθητές με και χωρίς </w:t>
      </w:r>
      <w:r>
        <w:rPr>
          <w:w w:val="105"/>
          <w:sz w:val="18"/>
        </w:rPr>
        <w:t xml:space="preserve">ιστορικό αναγνωστικών δυσκολιών. </w:t>
      </w:r>
      <w:r>
        <w:rPr>
          <w:rFonts w:ascii="Palatino Linotype" w:hAnsi="Palatino Linotype"/>
          <w:i/>
          <w:w w:val="105"/>
          <w:sz w:val="18"/>
        </w:rPr>
        <w:t xml:space="preserve">J. Μάθετε. Ντισαμπίλ. </w:t>
      </w:r>
      <w:r>
        <w:rPr>
          <w:b/>
          <w:w w:val="105"/>
          <w:sz w:val="18"/>
        </w:rPr>
        <w:t>2016</w:t>
      </w:r>
      <w:r>
        <w:rPr>
          <w:w w:val="105"/>
          <w:sz w:val="18"/>
        </w:rPr>
        <w:t xml:space="preserve">, </w:t>
      </w:r>
      <w:r>
        <w:rPr>
          <w:rFonts w:ascii="Palatino Linotype" w:hAnsi="Palatino Linotype"/>
          <w:i/>
          <w:w w:val="105"/>
          <w:sz w:val="18"/>
        </w:rPr>
        <w:t>50</w:t>
      </w:r>
      <w:r>
        <w:rPr>
          <w:w w:val="105"/>
          <w:sz w:val="18"/>
        </w:rPr>
        <w:t>, 34–48. [</w:t>
      </w:r>
      <w:hyperlink r:id="rId73">
        <w:r>
          <w:rPr>
            <w:color w:val="0774B7"/>
            <w:w w:val="105"/>
            <w:sz w:val="18"/>
          </w:rPr>
          <w:t>CrossRef</w:t>
        </w:r>
      </w:hyperlink>
      <w:r>
        <w:rPr>
          <w:w w:val="105"/>
          <w:sz w:val="18"/>
        </w:rPr>
        <w:t>] [</w:t>
      </w:r>
      <w:hyperlink r:id="rId74">
        <w:r>
          <w:rPr>
            <w:color w:val="0774B7"/>
            <w:w w:val="105"/>
            <w:sz w:val="18"/>
          </w:rPr>
          <w:t>PubMed</w:t>
        </w:r>
      </w:hyperlink>
      <w:r>
        <w:rPr>
          <w:w w:val="105"/>
          <w:sz w:val="18"/>
        </w:rPr>
        <w:t>]</w:t>
      </w:r>
    </w:p>
    <w:p w14:paraId="22756C66" w14:textId="77777777" w:rsidR="00F5166D" w:rsidRDefault="00623797">
      <w:pPr>
        <w:pStyle w:val="a5"/>
        <w:numPr>
          <w:ilvl w:val="0"/>
          <w:numId w:val="1"/>
        </w:numPr>
        <w:tabs>
          <w:tab w:val="left" w:pos="545"/>
        </w:tabs>
        <w:spacing w:line="235" w:lineRule="auto"/>
        <w:ind w:right="115"/>
        <w:jc w:val="both"/>
        <w:rPr>
          <w:sz w:val="18"/>
        </w:rPr>
      </w:pPr>
      <w:r>
        <w:rPr>
          <w:w w:val="105"/>
          <w:sz w:val="18"/>
        </w:rPr>
        <w:t xml:space="preserve">Hayat, Α.Α.; Shateri, Κ.; Αμινί, Μ.; Shokrpour, N. Σχέσεις μεταξύ ακαδημαϊκής αυτοαποτελεσματικότητας, συναισθημάτων που σχετίζονται με τη μάθηση και </w:t>
      </w:r>
      <w:r>
        <w:rPr>
          <w:sz w:val="18"/>
        </w:rPr>
        <w:t xml:space="preserve">στρατηγικών μεταγνωστικής μάθησης με ακαδημαϊκές επιδόσεις σε φοιτητές ιατρικής: Ένα δομικό μοντέλο εξίσωσης. </w:t>
      </w:r>
      <w:r>
        <w:rPr>
          <w:rFonts w:ascii="Palatino Linotype" w:hAnsi="Palatino Linotype"/>
          <w:i/>
          <w:sz w:val="18"/>
        </w:rPr>
        <w:t xml:space="preserve">BMC Med. Εκπαιδεύω. </w:t>
      </w:r>
      <w:r>
        <w:rPr>
          <w:b/>
          <w:w w:val="105"/>
          <w:sz w:val="18"/>
        </w:rPr>
        <w:t>2020</w:t>
      </w:r>
      <w:r>
        <w:rPr>
          <w:w w:val="105"/>
          <w:sz w:val="18"/>
        </w:rPr>
        <w:t xml:space="preserve">, </w:t>
      </w:r>
      <w:r>
        <w:rPr>
          <w:rFonts w:ascii="Palatino Linotype" w:hAnsi="Palatino Linotype"/>
          <w:i/>
          <w:w w:val="105"/>
          <w:sz w:val="18"/>
        </w:rPr>
        <w:t>20</w:t>
      </w:r>
      <w:r>
        <w:rPr>
          <w:w w:val="105"/>
          <w:sz w:val="18"/>
        </w:rPr>
        <w:t>, 1–11. [</w:t>
      </w:r>
      <w:hyperlink r:id="rId75">
        <w:r>
          <w:rPr>
            <w:color w:val="0774B7"/>
            <w:w w:val="105"/>
            <w:sz w:val="18"/>
          </w:rPr>
          <w:t>CrossRef</w:t>
        </w:r>
      </w:hyperlink>
      <w:r>
        <w:rPr>
          <w:w w:val="105"/>
          <w:sz w:val="18"/>
        </w:rPr>
        <w:t>] [</w:t>
      </w:r>
      <w:hyperlink r:id="rId76">
        <w:r>
          <w:rPr>
            <w:color w:val="0774B7"/>
            <w:w w:val="105"/>
            <w:sz w:val="18"/>
          </w:rPr>
          <w:t>PubMed</w:t>
        </w:r>
      </w:hyperlink>
      <w:r>
        <w:rPr>
          <w:w w:val="105"/>
          <w:sz w:val="18"/>
        </w:rPr>
        <w:t>]</w:t>
      </w:r>
    </w:p>
    <w:p w14:paraId="0DCC4619" w14:textId="77777777" w:rsidR="00F5166D" w:rsidRDefault="00623797">
      <w:pPr>
        <w:pStyle w:val="a5"/>
        <w:numPr>
          <w:ilvl w:val="0"/>
          <w:numId w:val="1"/>
        </w:numPr>
        <w:tabs>
          <w:tab w:val="left" w:pos="545"/>
        </w:tabs>
        <w:spacing w:line="242" w:lineRule="auto"/>
        <w:ind w:right="106"/>
        <w:jc w:val="both"/>
        <w:rPr>
          <w:sz w:val="18"/>
        </w:rPr>
      </w:pPr>
      <w:r>
        <w:rPr>
          <w:sz w:val="18"/>
        </w:rPr>
        <w:t xml:space="preserve">Nicolielo-Carrilho, Α.Ρ.; Crenitte, P.A.P.; Lopes-Herrera, Α.Ε.; Hage, S.R.d.V. Σχέση φωνολογικής μνήμης εργασίας, </w:t>
      </w:r>
      <w:r>
        <w:rPr>
          <w:w w:val="105"/>
          <w:sz w:val="18"/>
        </w:rPr>
        <w:t xml:space="preserve">μεταγνωστικών δεξιοτήτων και αναγνωστικής κατανόησης σε παιδιά με μαθησιακές δυσκολίες. </w:t>
      </w:r>
      <w:r>
        <w:rPr>
          <w:rFonts w:ascii="Palatino Linotype"/>
          <w:i/>
          <w:w w:val="105"/>
          <w:sz w:val="18"/>
        </w:rPr>
        <w:t xml:space="preserve">J. Appl. </w:t>
      </w:r>
      <w:r>
        <w:rPr>
          <w:rFonts w:ascii="Palatino Linotype"/>
          <w:i/>
          <w:w w:val="105"/>
          <w:sz w:val="18"/>
        </w:rPr>
        <w:t>Προφορική</w:t>
      </w:r>
      <w:r>
        <w:rPr>
          <w:rFonts w:ascii="Palatino Linotype"/>
          <w:i/>
          <w:w w:val="105"/>
          <w:sz w:val="18"/>
        </w:rPr>
        <w:t xml:space="preserve"> Sci. </w:t>
      </w:r>
      <w:r>
        <w:rPr>
          <w:b/>
          <w:w w:val="105"/>
          <w:sz w:val="18"/>
        </w:rPr>
        <w:t>2018</w:t>
      </w:r>
      <w:r>
        <w:rPr>
          <w:w w:val="105"/>
          <w:sz w:val="18"/>
        </w:rPr>
        <w:t xml:space="preserve">, </w:t>
      </w:r>
      <w:r>
        <w:rPr>
          <w:rFonts w:ascii="Palatino Linotype"/>
          <w:i/>
          <w:w w:val="105"/>
          <w:sz w:val="18"/>
        </w:rPr>
        <w:t>26</w:t>
      </w:r>
      <w:r>
        <w:rPr>
          <w:w w:val="105"/>
          <w:sz w:val="18"/>
        </w:rPr>
        <w:t>, e20170414. [</w:t>
      </w:r>
      <w:hyperlink r:id="rId77">
        <w:r>
          <w:rPr>
            <w:color w:val="0774B7"/>
            <w:w w:val="105"/>
            <w:sz w:val="18"/>
          </w:rPr>
          <w:t>CrossRef</w:t>
        </w:r>
      </w:hyperlink>
      <w:r>
        <w:rPr>
          <w:w w:val="105"/>
          <w:sz w:val="18"/>
        </w:rPr>
        <w:t>] [</w:t>
      </w:r>
      <w:hyperlink r:id="rId78">
        <w:r>
          <w:rPr>
            <w:color w:val="0774B7"/>
            <w:w w:val="105"/>
            <w:sz w:val="18"/>
          </w:rPr>
          <w:t>PubMed</w:t>
        </w:r>
      </w:hyperlink>
      <w:r>
        <w:rPr>
          <w:w w:val="105"/>
          <w:sz w:val="18"/>
        </w:rPr>
        <w:t>]</w:t>
      </w:r>
    </w:p>
    <w:p w14:paraId="70A9D3AB" w14:textId="77777777" w:rsidR="00F5166D" w:rsidRDefault="00623797">
      <w:pPr>
        <w:pStyle w:val="a5"/>
        <w:numPr>
          <w:ilvl w:val="0"/>
          <w:numId w:val="1"/>
        </w:numPr>
        <w:tabs>
          <w:tab w:val="left" w:pos="545"/>
        </w:tabs>
        <w:spacing w:before="1" w:line="244" w:lineRule="auto"/>
        <w:ind w:right="115"/>
        <w:jc w:val="both"/>
        <w:rPr>
          <w:sz w:val="18"/>
        </w:rPr>
      </w:pPr>
      <w:r>
        <w:rPr>
          <w:w w:val="105"/>
          <w:sz w:val="18"/>
        </w:rPr>
        <w:t xml:space="preserve">Oguz, Α. Η σχέση μεταξύ μεταγνωστικών δεξιοτήτων και κινήτρων των φοιτητών. </w:t>
      </w:r>
      <w:r>
        <w:rPr>
          <w:rFonts w:ascii="Palatino Linotype" w:hAnsi="Palatino Linotype"/>
          <w:i/>
          <w:w w:val="105"/>
          <w:sz w:val="18"/>
        </w:rPr>
        <w:t xml:space="preserve">Educ. Διαδικασία Int. J. </w:t>
      </w:r>
      <w:r>
        <w:rPr>
          <w:b/>
          <w:w w:val="105"/>
          <w:sz w:val="18"/>
        </w:rPr>
        <w:t>2016</w:t>
      </w:r>
      <w:r>
        <w:rPr>
          <w:w w:val="105"/>
          <w:sz w:val="18"/>
        </w:rPr>
        <w:t xml:space="preserve">, </w:t>
      </w:r>
      <w:r>
        <w:rPr>
          <w:rFonts w:ascii="Palatino Linotype" w:hAnsi="Palatino Linotype"/>
          <w:i/>
          <w:w w:val="105"/>
          <w:sz w:val="18"/>
        </w:rPr>
        <w:t>5</w:t>
      </w:r>
      <w:r>
        <w:rPr>
          <w:w w:val="105"/>
          <w:sz w:val="18"/>
        </w:rPr>
        <w:t>, 54–64. [</w:t>
      </w:r>
      <w:hyperlink r:id="rId79">
        <w:r>
          <w:rPr>
            <w:color w:val="0774B7"/>
            <w:w w:val="105"/>
            <w:sz w:val="18"/>
          </w:rPr>
          <w:t>CrossRef</w:t>
        </w:r>
      </w:hyperlink>
      <w:r>
        <w:rPr>
          <w:w w:val="105"/>
          <w:sz w:val="18"/>
        </w:rPr>
        <w:t>]</w:t>
      </w:r>
    </w:p>
    <w:p w14:paraId="3E2A35DE" w14:textId="77777777" w:rsidR="00F5166D" w:rsidRDefault="00F5166D">
      <w:pPr>
        <w:spacing w:line="244" w:lineRule="auto"/>
        <w:jc w:val="both"/>
        <w:rPr>
          <w:sz w:val="18"/>
        </w:rPr>
        <w:sectPr w:rsidR="00F5166D">
          <w:pgSz w:w="11910" w:h="16840"/>
          <w:pgMar w:top="1400" w:right="580" w:bottom="280" w:left="600" w:header="1109" w:footer="0" w:gutter="0"/>
          <w:cols w:space="720"/>
        </w:sectPr>
      </w:pPr>
    </w:p>
    <w:p w14:paraId="74614B1B" w14:textId="77777777" w:rsidR="00F5166D" w:rsidRDefault="00F5166D">
      <w:pPr>
        <w:pStyle w:val="a3"/>
      </w:pPr>
    </w:p>
    <w:p w14:paraId="538B3342" w14:textId="77777777" w:rsidR="00F5166D" w:rsidRDefault="00F5166D">
      <w:pPr>
        <w:pStyle w:val="a3"/>
        <w:spacing w:before="2"/>
        <w:rPr>
          <w:sz w:val="23"/>
        </w:rPr>
      </w:pPr>
    </w:p>
    <w:p w14:paraId="1E3A4CE9" w14:textId="77777777" w:rsidR="00F5166D" w:rsidRDefault="00623797">
      <w:pPr>
        <w:pStyle w:val="a5"/>
        <w:numPr>
          <w:ilvl w:val="0"/>
          <w:numId w:val="1"/>
        </w:numPr>
        <w:tabs>
          <w:tab w:val="left" w:pos="544"/>
          <w:tab w:val="left" w:pos="545"/>
        </w:tabs>
        <w:ind w:right="137"/>
        <w:rPr>
          <w:sz w:val="18"/>
        </w:rPr>
      </w:pPr>
      <w:bookmarkStart w:id="71" w:name="_bookmark55"/>
      <w:bookmarkEnd w:id="71"/>
      <w:r>
        <w:rPr>
          <w:w w:val="105"/>
          <w:sz w:val="18"/>
        </w:rPr>
        <w:t xml:space="preserve">Pressley, Μ.; Gaskins, I.W. Η μεταγνωστικά ικανή κατανόηση ανάγνωσης είναι η εποικοδομητική ανταποκρινόμενη ανάγνωση: Πώς μπορεί να αναπτυχθεί αυτή η ανάγνωση στους μαθητές; </w:t>
      </w:r>
      <w:bookmarkStart w:id="72" w:name="_bookmark56"/>
      <w:bookmarkEnd w:id="72"/>
      <w:r>
        <w:rPr>
          <w:rFonts w:ascii="Palatino Linotype" w:hAnsi="Palatino Linotype"/>
          <w:i/>
          <w:w w:val="105"/>
          <w:sz w:val="18"/>
        </w:rPr>
        <w:t xml:space="preserve">Μεταγνώση Μάθετε. </w:t>
      </w:r>
      <w:r>
        <w:rPr>
          <w:b/>
          <w:w w:val="105"/>
          <w:sz w:val="18"/>
        </w:rPr>
        <w:t>2006</w:t>
      </w:r>
      <w:r>
        <w:rPr>
          <w:w w:val="105"/>
          <w:sz w:val="18"/>
        </w:rPr>
        <w:t xml:space="preserve">, </w:t>
      </w:r>
      <w:r>
        <w:rPr>
          <w:rFonts w:ascii="Palatino Linotype" w:hAnsi="Palatino Linotype"/>
          <w:i/>
          <w:w w:val="105"/>
          <w:sz w:val="18"/>
        </w:rPr>
        <w:t>1</w:t>
      </w:r>
      <w:r>
        <w:rPr>
          <w:w w:val="105"/>
          <w:sz w:val="18"/>
        </w:rPr>
        <w:t>, 99–113. [</w:t>
      </w:r>
      <w:hyperlink r:id="rId80">
        <w:r>
          <w:rPr>
            <w:color w:val="0774B7"/>
            <w:w w:val="105"/>
            <w:sz w:val="18"/>
          </w:rPr>
          <w:t>CrossRef</w:t>
        </w:r>
      </w:hyperlink>
      <w:r>
        <w:rPr>
          <w:w w:val="105"/>
          <w:sz w:val="18"/>
        </w:rPr>
        <w:t>]</w:t>
      </w:r>
    </w:p>
    <w:p w14:paraId="3DA549A2" w14:textId="77777777" w:rsidR="00F5166D" w:rsidRDefault="00623797">
      <w:pPr>
        <w:pStyle w:val="a5"/>
        <w:numPr>
          <w:ilvl w:val="0"/>
          <w:numId w:val="1"/>
        </w:numPr>
        <w:tabs>
          <w:tab w:val="left" w:pos="544"/>
          <w:tab w:val="left" w:pos="545"/>
        </w:tabs>
        <w:spacing w:before="6" w:line="261" w:lineRule="auto"/>
        <w:ind w:right="115"/>
        <w:rPr>
          <w:sz w:val="18"/>
        </w:rPr>
      </w:pPr>
      <w:r>
        <w:rPr>
          <w:w w:val="105"/>
          <w:sz w:val="18"/>
        </w:rPr>
        <w:t>Desoete, A. Off-Line Μεταγνώση σε Παιδιά με Μαθηματικά Μαθησιακές Δυσκολίες. Διδακτορική διατριβή, Πανεπιστήμιο της Γάνδης, Γάνδη, Βέλγιο, 2001.</w:t>
      </w:r>
    </w:p>
    <w:p w14:paraId="09068E2B" w14:textId="77777777" w:rsidR="00F5166D" w:rsidRDefault="00623797">
      <w:pPr>
        <w:pStyle w:val="a5"/>
        <w:numPr>
          <w:ilvl w:val="0"/>
          <w:numId w:val="1"/>
        </w:numPr>
        <w:tabs>
          <w:tab w:val="left" w:pos="544"/>
          <w:tab w:val="left" w:pos="545"/>
        </w:tabs>
        <w:spacing w:line="219" w:lineRule="exact"/>
        <w:rPr>
          <w:sz w:val="18"/>
        </w:rPr>
      </w:pPr>
      <w:r>
        <w:rPr>
          <w:sz w:val="18"/>
        </w:rPr>
        <w:t xml:space="preserve">Desoete, A. Μαθηματικά και μεταγνώση σε εφήβους και ενήλικες με μαθησιακές δυσκολίες. </w:t>
      </w:r>
      <w:r>
        <w:rPr>
          <w:rFonts w:ascii="Palatino Linotype"/>
          <w:i/>
          <w:sz w:val="18"/>
        </w:rPr>
        <w:t xml:space="preserve">Int. </w:t>
      </w:r>
      <w:r>
        <w:rPr>
          <w:rFonts w:ascii="Palatino Linotype"/>
          <w:i/>
          <w:sz w:val="18"/>
        </w:rPr>
        <w:t>Ηλεκτρόνιο</w:t>
      </w:r>
      <w:r>
        <w:rPr>
          <w:rFonts w:ascii="Palatino Linotype"/>
          <w:i/>
          <w:sz w:val="18"/>
        </w:rPr>
        <w:t xml:space="preserve">. J. Elem. Educ. </w:t>
      </w:r>
      <w:r>
        <w:rPr>
          <w:b/>
          <w:sz w:val="18"/>
        </w:rPr>
        <w:t>2009</w:t>
      </w:r>
      <w:r>
        <w:rPr>
          <w:sz w:val="18"/>
        </w:rPr>
        <w:t>,</w:t>
      </w:r>
    </w:p>
    <w:p w14:paraId="5B88B194" w14:textId="77777777" w:rsidR="00F5166D" w:rsidRDefault="00623797">
      <w:pPr>
        <w:spacing w:line="236" w:lineRule="exact"/>
        <w:ind w:left="540"/>
        <w:rPr>
          <w:sz w:val="18"/>
        </w:rPr>
      </w:pPr>
      <w:bookmarkStart w:id="73" w:name="_bookmark57"/>
      <w:bookmarkEnd w:id="73"/>
      <w:r>
        <w:rPr>
          <w:rFonts w:ascii="Palatino Linotype" w:hAnsi="Palatino Linotype"/>
          <w:i/>
          <w:w w:val="95"/>
          <w:sz w:val="18"/>
        </w:rPr>
        <w:t>2</w:t>
      </w:r>
      <w:r>
        <w:rPr>
          <w:w w:val="95"/>
          <w:sz w:val="18"/>
        </w:rPr>
        <w:t>, 82–100.</w:t>
      </w:r>
    </w:p>
    <w:p w14:paraId="2611702E" w14:textId="77777777" w:rsidR="00F5166D" w:rsidRDefault="00623797">
      <w:pPr>
        <w:pStyle w:val="a5"/>
        <w:numPr>
          <w:ilvl w:val="0"/>
          <w:numId w:val="1"/>
        </w:numPr>
        <w:tabs>
          <w:tab w:val="left" w:pos="544"/>
          <w:tab w:val="left" w:pos="545"/>
        </w:tabs>
        <w:spacing w:before="6"/>
        <w:rPr>
          <w:sz w:val="18"/>
        </w:rPr>
      </w:pPr>
      <w:r>
        <w:rPr>
          <w:w w:val="105"/>
          <w:sz w:val="18"/>
        </w:rPr>
        <w:t>Desoete, Α.; Roeyers, H. Off-Line Metacognition—A Domain-Specific Retardation in Young Children with Learning Disabilities?</w:t>
      </w:r>
    </w:p>
    <w:p w14:paraId="06096064" w14:textId="77777777" w:rsidR="00F5166D" w:rsidRDefault="00623797">
      <w:pPr>
        <w:spacing w:before="1"/>
        <w:ind w:left="539"/>
        <w:rPr>
          <w:sz w:val="18"/>
        </w:rPr>
      </w:pPr>
      <w:bookmarkStart w:id="74" w:name="_bookmark58"/>
      <w:bookmarkEnd w:id="74"/>
      <w:r>
        <w:rPr>
          <w:rFonts w:ascii="Palatino Linotype" w:hAnsi="Palatino Linotype"/>
          <w:i/>
          <w:w w:val="95"/>
          <w:sz w:val="18"/>
        </w:rPr>
        <w:t xml:space="preserve">Μαθαίνω. Ντισαμπίλ. Ερ. </w:t>
      </w:r>
      <w:r>
        <w:rPr>
          <w:b/>
          <w:w w:val="95"/>
          <w:sz w:val="18"/>
        </w:rPr>
        <w:t>2002</w:t>
      </w:r>
      <w:r>
        <w:rPr>
          <w:w w:val="95"/>
          <w:sz w:val="18"/>
        </w:rPr>
        <w:t xml:space="preserve">, </w:t>
      </w:r>
      <w:r>
        <w:rPr>
          <w:rFonts w:ascii="Palatino Linotype" w:hAnsi="Palatino Linotype"/>
          <w:i/>
          <w:w w:val="95"/>
          <w:sz w:val="18"/>
        </w:rPr>
        <w:t>25</w:t>
      </w:r>
      <w:r>
        <w:rPr>
          <w:w w:val="95"/>
          <w:sz w:val="18"/>
        </w:rPr>
        <w:t>, 123–139. [</w:t>
      </w:r>
      <w:hyperlink r:id="rId81">
        <w:r>
          <w:rPr>
            <w:color w:val="0774B7"/>
            <w:w w:val="95"/>
            <w:sz w:val="18"/>
          </w:rPr>
          <w:t>CrossRef</w:t>
        </w:r>
      </w:hyperlink>
      <w:r>
        <w:rPr>
          <w:w w:val="95"/>
          <w:sz w:val="18"/>
        </w:rPr>
        <w:t>]</w:t>
      </w:r>
    </w:p>
    <w:p w14:paraId="30C3A157" w14:textId="77777777" w:rsidR="00F5166D" w:rsidRDefault="00623797">
      <w:pPr>
        <w:pStyle w:val="a5"/>
        <w:numPr>
          <w:ilvl w:val="0"/>
          <w:numId w:val="1"/>
        </w:numPr>
        <w:tabs>
          <w:tab w:val="left" w:pos="544"/>
          <w:tab w:val="left" w:pos="545"/>
        </w:tabs>
        <w:spacing w:before="5"/>
        <w:ind w:left="537" w:right="137" w:hanging="423"/>
        <w:rPr>
          <w:sz w:val="18"/>
        </w:rPr>
      </w:pPr>
      <w:r>
        <w:rPr>
          <w:w w:val="105"/>
          <w:sz w:val="18"/>
        </w:rPr>
        <w:t xml:space="preserve">Wang, L.C.; Li, X.; Chung, K.K.H. Σχέσεις μεταξύ άγχους δοκιμής και μεταγνώσης σε Κινέζους νεαρούς ενήλικες με και χωρίς ειδικές μαθησιακές δυσκολίες. </w:t>
      </w:r>
      <w:bookmarkStart w:id="75" w:name="_bookmark59"/>
      <w:bookmarkEnd w:id="75"/>
      <w:r>
        <w:rPr>
          <w:rFonts w:ascii="Palatino Linotype" w:hAnsi="Palatino Linotype"/>
          <w:i/>
          <w:w w:val="105"/>
          <w:sz w:val="18"/>
        </w:rPr>
        <w:t xml:space="preserve">Ann Δυσλεξία  2021, </w:t>
      </w:r>
      <w:r>
        <w:rPr>
          <w:b/>
          <w:w w:val="105"/>
          <w:sz w:val="18"/>
        </w:rPr>
        <w:t>71</w:t>
      </w:r>
      <w:r>
        <w:rPr>
          <w:w w:val="105"/>
          <w:sz w:val="18"/>
        </w:rPr>
        <w:t xml:space="preserve">, </w:t>
      </w:r>
      <w:r>
        <w:rPr>
          <w:rFonts w:ascii="Palatino Linotype" w:hAnsi="Palatino Linotype"/>
          <w:i/>
          <w:w w:val="105"/>
          <w:sz w:val="18"/>
        </w:rPr>
        <w:t>103</w:t>
      </w:r>
      <w:r>
        <w:rPr>
          <w:w w:val="105"/>
          <w:sz w:val="18"/>
        </w:rPr>
        <w:t>–126. [</w:t>
      </w:r>
      <w:hyperlink r:id="rId82">
        <w:r>
          <w:rPr>
            <w:color w:val="0774B7"/>
            <w:w w:val="105"/>
            <w:sz w:val="18"/>
          </w:rPr>
          <w:t>CrossRef</w:t>
        </w:r>
      </w:hyperlink>
      <w:r>
        <w:rPr>
          <w:w w:val="105"/>
          <w:sz w:val="18"/>
        </w:rPr>
        <w:t>]</w:t>
      </w:r>
    </w:p>
    <w:p w14:paraId="5C11453E" w14:textId="77777777" w:rsidR="00F5166D" w:rsidRDefault="00623797">
      <w:pPr>
        <w:pStyle w:val="a5"/>
        <w:numPr>
          <w:ilvl w:val="0"/>
          <w:numId w:val="1"/>
        </w:numPr>
        <w:tabs>
          <w:tab w:val="left" w:pos="544"/>
          <w:tab w:val="left" w:pos="545"/>
        </w:tabs>
        <w:spacing w:before="6"/>
        <w:ind w:right="103"/>
        <w:rPr>
          <w:sz w:val="18"/>
        </w:rPr>
      </w:pPr>
      <w:r>
        <w:rPr>
          <w:w w:val="105"/>
          <w:sz w:val="18"/>
        </w:rPr>
        <w:t xml:space="preserve">Alenizi, Μ.Α.Κ.; Αλαναζί, Μ.Σ. Η αποτελεσματικότητα των μεταγνωστικών στρατηγικών διδασκαλίας για την ενίσχυση των δεξιοτήτων ανάγνωσης των μαθητών δημοτικού σχολείου στις βόρειες παραμεθόριες περιοχές της Σαουδικής Αραβίας. </w:t>
      </w:r>
      <w:bookmarkStart w:id="76" w:name="_bookmark60"/>
      <w:bookmarkEnd w:id="76"/>
      <w:r>
        <w:rPr>
          <w:rFonts w:ascii="Palatino Linotype" w:hAnsi="Palatino Linotype"/>
          <w:i/>
          <w:w w:val="105"/>
          <w:sz w:val="18"/>
        </w:rPr>
        <w:t xml:space="preserve">Int. J. Engl. Γλωσσολόγος. </w:t>
      </w:r>
      <w:r>
        <w:rPr>
          <w:b/>
          <w:w w:val="105"/>
          <w:sz w:val="18"/>
        </w:rPr>
        <w:t>2016</w:t>
      </w:r>
      <w:r>
        <w:rPr>
          <w:w w:val="105"/>
          <w:sz w:val="18"/>
        </w:rPr>
        <w:t xml:space="preserve">, </w:t>
      </w:r>
      <w:r>
        <w:rPr>
          <w:rFonts w:ascii="Palatino Linotype" w:hAnsi="Palatino Linotype"/>
          <w:i/>
          <w:w w:val="105"/>
          <w:sz w:val="18"/>
        </w:rPr>
        <w:t>6</w:t>
      </w:r>
      <w:r>
        <w:rPr>
          <w:w w:val="105"/>
          <w:sz w:val="18"/>
        </w:rPr>
        <w:t>, 213–226. [</w:t>
      </w:r>
      <w:hyperlink r:id="rId83">
        <w:r>
          <w:rPr>
            <w:color w:val="0774B7"/>
            <w:w w:val="105"/>
            <w:sz w:val="18"/>
          </w:rPr>
          <w:t>CrossRef</w:t>
        </w:r>
      </w:hyperlink>
      <w:r>
        <w:rPr>
          <w:w w:val="105"/>
          <w:sz w:val="18"/>
        </w:rPr>
        <w:t>]</w:t>
      </w:r>
    </w:p>
    <w:p w14:paraId="1D9A5609" w14:textId="77777777" w:rsidR="00F5166D" w:rsidRDefault="00623797">
      <w:pPr>
        <w:pStyle w:val="a5"/>
        <w:numPr>
          <w:ilvl w:val="0"/>
          <w:numId w:val="1"/>
        </w:numPr>
        <w:tabs>
          <w:tab w:val="left" w:pos="544"/>
          <w:tab w:val="left" w:pos="545"/>
        </w:tabs>
        <w:spacing w:line="228" w:lineRule="auto"/>
        <w:ind w:left="537" w:right="115" w:hanging="424"/>
        <w:rPr>
          <w:sz w:val="18"/>
        </w:rPr>
      </w:pPr>
      <w:r>
        <w:rPr>
          <w:w w:val="105"/>
          <w:sz w:val="18"/>
        </w:rPr>
        <w:t xml:space="preserve">Trainin, Γ.; Swanson, H.L. Γνώση, μεταγνώση και επίτευγμα φοιτητών με μαθησιακές δυσκολίες. </w:t>
      </w:r>
      <w:r>
        <w:rPr>
          <w:rFonts w:ascii="Palatino Linotype" w:hAnsi="Palatino Linotype"/>
          <w:i/>
          <w:w w:val="105"/>
          <w:sz w:val="18"/>
        </w:rPr>
        <w:t xml:space="preserve">Μαθαίνω. Ντισαμπίλ. Ερ. </w:t>
      </w:r>
      <w:bookmarkStart w:id="77" w:name="_bookmark61"/>
      <w:bookmarkEnd w:id="77"/>
      <w:r>
        <w:rPr>
          <w:b/>
          <w:w w:val="105"/>
          <w:sz w:val="18"/>
        </w:rPr>
        <w:t xml:space="preserve">2005, </w:t>
      </w:r>
      <w:r>
        <w:rPr>
          <w:w w:val="105"/>
          <w:sz w:val="18"/>
        </w:rPr>
        <w:t>28</w:t>
      </w:r>
      <w:r>
        <w:rPr>
          <w:rFonts w:ascii="Palatino Linotype" w:hAnsi="Palatino Linotype"/>
          <w:i/>
          <w:w w:val="105"/>
          <w:sz w:val="18"/>
        </w:rPr>
        <w:t xml:space="preserve">, </w:t>
      </w:r>
      <w:r>
        <w:rPr>
          <w:w w:val="105"/>
          <w:sz w:val="18"/>
        </w:rPr>
        <w:t>261–272. [</w:t>
      </w:r>
      <w:hyperlink r:id="rId84">
        <w:r>
          <w:rPr>
            <w:color w:val="0774B7"/>
            <w:w w:val="105"/>
            <w:sz w:val="18"/>
          </w:rPr>
          <w:t>CrossRef</w:t>
        </w:r>
      </w:hyperlink>
      <w:r>
        <w:rPr>
          <w:w w:val="105"/>
          <w:sz w:val="18"/>
        </w:rPr>
        <w:t>]</w:t>
      </w:r>
    </w:p>
    <w:p w14:paraId="44E34A12" w14:textId="77777777" w:rsidR="00F5166D" w:rsidRDefault="00623797">
      <w:pPr>
        <w:pStyle w:val="a5"/>
        <w:numPr>
          <w:ilvl w:val="0"/>
          <w:numId w:val="1"/>
        </w:numPr>
        <w:tabs>
          <w:tab w:val="left" w:pos="544"/>
          <w:tab w:val="left" w:pos="545"/>
        </w:tabs>
        <w:spacing w:before="6" w:line="261" w:lineRule="auto"/>
        <w:ind w:right="106"/>
        <w:rPr>
          <w:sz w:val="18"/>
        </w:rPr>
      </w:pPr>
      <w:r>
        <w:rPr>
          <w:w w:val="105"/>
          <w:sz w:val="18"/>
        </w:rPr>
        <w:t xml:space="preserve">Sibilia, Λ.; Schwarzer, Ρ.; Ιερουσαλήμ, Μ. Ιταλική προσαρμογή της γενικής κλίμακας αυτοαποτελεσματικότητας. Διαθέσιμο στο διαδίκτυο: </w:t>
      </w:r>
      <w:hyperlink r:id="rId85">
        <w:r>
          <w:rPr>
            <w:color w:val="0774B7"/>
            <w:w w:val="105"/>
            <w:sz w:val="18"/>
          </w:rPr>
          <w:t>http://userpage.</w:t>
        </w:r>
      </w:hyperlink>
      <w:r>
        <w:rPr>
          <w:color w:val="0774B7"/>
          <w:spacing w:val="-39"/>
          <w:w w:val="105"/>
          <w:sz w:val="18"/>
        </w:rPr>
        <w:t xml:space="preserve"> </w:t>
      </w:r>
      <w:hyperlink r:id="rId86">
        <w:bookmarkStart w:id="78" w:name="_bookmark62"/>
        <w:bookmarkEnd w:id="78"/>
        <w:r>
          <w:rPr>
            <w:color w:val="0774B7"/>
            <w:w w:val="105"/>
            <w:sz w:val="18"/>
          </w:rPr>
          <w:t xml:space="preserve">fu-berlin.de/~{}health/italian.htm </w:t>
        </w:r>
      </w:hyperlink>
      <w:r>
        <w:rPr>
          <w:w w:val="105"/>
          <w:sz w:val="18"/>
        </w:rPr>
        <w:t>(πρόσβαση την 1η Οκτωβρίου 2021).</w:t>
      </w:r>
    </w:p>
    <w:p w14:paraId="5E9D7439" w14:textId="77777777" w:rsidR="00F5166D" w:rsidRDefault="00623797">
      <w:pPr>
        <w:pStyle w:val="a5"/>
        <w:numPr>
          <w:ilvl w:val="0"/>
          <w:numId w:val="1"/>
        </w:numPr>
        <w:tabs>
          <w:tab w:val="left" w:pos="544"/>
          <w:tab w:val="left" w:pos="545"/>
        </w:tabs>
        <w:spacing w:line="219" w:lineRule="exact"/>
        <w:rPr>
          <w:sz w:val="18"/>
        </w:rPr>
      </w:pPr>
      <w:bookmarkStart w:id="79" w:name="_bookmark63"/>
      <w:bookmarkEnd w:id="79"/>
      <w:r>
        <w:rPr>
          <w:w w:val="108"/>
          <w:sz w:val="18"/>
        </w:rPr>
        <w:t xml:space="preserve">Altindag ̆ </w:t>
      </w:r>
      <w:r>
        <w:rPr>
          <w:w w:val="121"/>
          <w:sz w:val="18"/>
        </w:rPr>
        <w:t xml:space="preserve">, </w:t>
      </w:r>
      <w:r>
        <w:rPr>
          <w:w w:val="112"/>
          <w:sz w:val="18"/>
        </w:rPr>
        <w:t xml:space="preserve">Μ.; </w:t>
      </w:r>
      <w:r>
        <w:rPr>
          <w:w w:val="101"/>
          <w:sz w:val="18"/>
        </w:rPr>
        <w:t>Senemoglu, Ν</w:t>
      </w:r>
      <w:r>
        <w:rPr>
          <w:w w:val="121"/>
          <w:sz w:val="18"/>
        </w:rPr>
        <w:t xml:space="preserve">. </w:t>
      </w:r>
      <w:r>
        <w:rPr>
          <w:w w:val="104"/>
          <w:sz w:val="18"/>
        </w:rPr>
        <w:t xml:space="preserve">Κλίμακα μεταγνωστικών </w:t>
      </w:r>
      <w:r>
        <w:rPr>
          <w:w w:val="102"/>
          <w:sz w:val="18"/>
        </w:rPr>
        <w:t xml:space="preserve">δεξιοτήτων. </w:t>
      </w:r>
      <w:r>
        <w:rPr>
          <w:rFonts w:ascii="Palatino Linotype" w:hAnsi="Palatino Linotype"/>
          <w:i/>
          <w:w w:val="99"/>
          <w:sz w:val="18"/>
        </w:rPr>
        <w:t xml:space="preserve">Χατσέτ. Üniversitesi π.χ. ̆itim fakültesi derg. </w:t>
      </w:r>
      <w:r>
        <w:rPr>
          <w:b/>
          <w:w w:val="84"/>
          <w:sz w:val="18"/>
        </w:rPr>
        <w:t xml:space="preserve">2013, </w:t>
      </w:r>
      <w:r>
        <w:rPr>
          <w:w w:val="121"/>
          <w:sz w:val="18"/>
        </w:rPr>
        <w:t>28</w:t>
      </w:r>
      <w:r>
        <w:rPr>
          <w:rFonts w:ascii="Palatino Linotype" w:hAnsi="Palatino Linotype"/>
          <w:i/>
          <w:w w:val="99"/>
          <w:sz w:val="18"/>
        </w:rPr>
        <w:t xml:space="preserve">, </w:t>
      </w:r>
      <w:r>
        <w:rPr>
          <w:w w:val="121"/>
          <w:sz w:val="18"/>
        </w:rPr>
        <w:t>15–26.</w:t>
      </w:r>
      <w:r>
        <w:rPr>
          <w:w w:val="93"/>
          <w:sz w:val="18"/>
        </w:rPr>
        <w:t xml:space="preserve"> </w:t>
      </w:r>
    </w:p>
    <w:p w14:paraId="598086D2" w14:textId="3372ADE1" w:rsidR="00F5166D" w:rsidRDefault="00623797">
      <w:pPr>
        <w:pStyle w:val="a5"/>
        <w:numPr>
          <w:ilvl w:val="0"/>
          <w:numId w:val="1"/>
        </w:numPr>
        <w:tabs>
          <w:tab w:val="left" w:pos="544"/>
          <w:tab w:val="left" w:pos="545"/>
        </w:tabs>
        <w:spacing w:before="3" w:line="228" w:lineRule="auto"/>
        <w:ind w:right="115"/>
        <w:rPr>
          <w:sz w:val="18"/>
        </w:rPr>
      </w:pPr>
      <w:r>
        <w:rPr>
          <w:w w:val="105"/>
          <w:sz w:val="18"/>
        </w:rPr>
        <w:t xml:space="preserve">Wilson Van Voorhis, C.R.; Morgan, B.L. Κατανόηση της δύναμης και των εμπειρικών κανόνων για τον προσδιορισμό των μεγεθών των δειγμάτων. </w:t>
      </w:r>
      <w:r>
        <w:rPr>
          <w:rFonts w:ascii="Palatino Linotype" w:hAnsi="Palatino Linotype"/>
          <w:i/>
          <w:w w:val="105"/>
          <w:sz w:val="18"/>
        </w:rPr>
        <w:t xml:space="preserve">Δάσκαλος. Quant. Μέθοδοι Psychol. </w:t>
      </w:r>
      <w:r>
        <w:rPr>
          <w:b/>
          <w:w w:val="105"/>
          <w:sz w:val="18"/>
        </w:rPr>
        <w:t>2007</w:t>
      </w:r>
      <w:r>
        <w:rPr>
          <w:w w:val="105"/>
          <w:sz w:val="18"/>
        </w:rPr>
        <w:t xml:space="preserve">, </w:t>
      </w:r>
      <w:r>
        <w:rPr>
          <w:rFonts w:ascii="Palatino Linotype" w:hAnsi="Palatino Linotype"/>
          <w:i/>
          <w:w w:val="105"/>
          <w:sz w:val="18"/>
        </w:rPr>
        <w:t>3</w:t>
      </w:r>
      <w:r>
        <w:rPr>
          <w:w w:val="105"/>
          <w:sz w:val="18"/>
        </w:rPr>
        <w:t>, 43–50. [</w:t>
      </w:r>
      <w:hyperlink r:id="rId87">
        <w:r>
          <w:rPr>
            <w:color w:val="0774B7"/>
            <w:w w:val="105"/>
            <w:sz w:val="18"/>
          </w:rPr>
          <w:t>CrossRef</w:t>
        </w:r>
      </w:hyperlink>
      <w:r>
        <w:rPr>
          <w:w w:val="105"/>
          <w:sz w:val="18"/>
        </w:rPr>
        <w:t>]</w:t>
      </w:r>
    </w:p>
    <w:sectPr w:rsidR="00F5166D">
      <w:pgSz w:w="11910" w:h="16840"/>
      <w:pgMar w:top="1400" w:right="580" w:bottom="280" w:left="600" w:header="11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F5A9" w14:textId="77777777" w:rsidR="00741BBE" w:rsidRDefault="00741BBE">
      <w:r>
        <w:separator/>
      </w:r>
    </w:p>
  </w:endnote>
  <w:endnote w:type="continuationSeparator" w:id="0">
    <w:p w14:paraId="441C2735" w14:textId="77777777" w:rsidR="00741BBE" w:rsidRDefault="0074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Unicode">
    <w:altName w:val="Lucida Sans Unicode"/>
    <w:panose1 w:val="020B0602030504020204"/>
    <w:charset w:val="A1"/>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805E" w14:textId="77777777" w:rsidR="00741BBE" w:rsidRDefault="00741BBE">
      <w:r>
        <w:separator/>
      </w:r>
    </w:p>
  </w:footnote>
  <w:footnote w:type="continuationSeparator" w:id="0">
    <w:p w14:paraId="3A9B3A35" w14:textId="77777777" w:rsidR="00741BBE" w:rsidRDefault="0074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15FD" w14:textId="28823C13" w:rsidR="00F5166D" w:rsidRDefault="00D11C54">
    <w:pPr>
      <w:pStyle w:val="a3"/>
      <w:spacing w:line="14" w:lineRule="auto"/>
    </w:pPr>
    <w:r>
      <w:rPr>
        <w:noProof/>
      </w:rPr>
      <mc:AlternateContent>
        <mc:Choice Requires="wpg">
          <w:drawing>
            <wp:anchor distT="0" distB="0" distL="114300" distR="114300" simplePos="0" relativeHeight="486771200" behindDoc="1" locked="0" layoutInCell="1" allowOverlap="1" wp14:anchorId="00329B13" wp14:editId="69EC4790">
              <wp:simplePos x="0" y="0"/>
              <wp:positionH relativeFrom="page">
                <wp:posOffset>453390</wp:posOffset>
              </wp:positionH>
              <wp:positionV relativeFrom="page">
                <wp:posOffset>895985</wp:posOffset>
              </wp:positionV>
              <wp:extent cx="6649720" cy="5080"/>
              <wp:effectExtent l="0" t="0" r="0" b="0"/>
              <wp:wrapNone/>
              <wp:docPr id="53508055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5080"/>
                        <a:chOff x="714" y="1411"/>
                        <a:chExt cx="10472" cy="8"/>
                      </a:xfrm>
                    </wpg:grpSpPr>
                    <wps:wsp>
                      <wps:cNvPr id="950081311" name="Line 5"/>
                      <wps:cNvCnPr>
                        <a:cxnSpLocks noChangeShapeType="1"/>
                      </wps:cNvCnPr>
                      <wps:spPr bwMode="auto">
                        <a:xfrm>
                          <a:off x="714" y="1415"/>
                          <a:ext cx="10466"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s:wsp>
                      <wps:cNvPr id="232189474" name="Line 4"/>
                      <wps:cNvCnPr>
                        <a:cxnSpLocks noChangeShapeType="1"/>
                      </wps:cNvCnPr>
                      <wps:spPr bwMode="auto">
                        <a:xfrm>
                          <a:off x="720" y="1415"/>
                          <a:ext cx="1046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AAB305" id="Group 3" o:spid="_x0000_s1026" style="position:absolute;margin-left:35.7pt;margin-top:70.55pt;width:523.6pt;height:.4pt;z-index:-16545280;mso-position-horizontal-relative:page;mso-position-vertical-relative:page" coordorigin="714,1411" coordsize="10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">
              <v:line id="Line 5" o:spid="_x0000_s1027" style="position:absolute;visibility:visible;mso-wrap-style:square" from="714,1415" to="11180,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" strokeweight=".14042mm"/>
              <v:line id="Line 4" o:spid="_x0000_s1028" style="position:absolute;visibility:visible;mso-wrap-style:square" from="720,1415" to="11185,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" strokeweight=".14042mm"/>
              <w10:wrap anchorx="page" anchory="page"/>
            </v:group>
          </w:pict>
        </mc:Fallback>
      </mc:AlternateContent>
    </w:r>
    <w:r>
      <w:rPr>
        <w:noProof/>
      </w:rPr>
      <mc:AlternateContent>
        <mc:Choice Requires="wps">
          <w:drawing>
            <wp:anchor distT="0" distB="0" distL="114300" distR="114300" simplePos="0" relativeHeight="486771712" behindDoc="1" locked="0" layoutInCell="1" allowOverlap="1" wp14:anchorId="3073E2DF" wp14:editId="206536AA">
              <wp:simplePos x="0" y="0"/>
              <wp:positionH relativeFrom="page">
                <wp:posOffset>437515</wp:posOffset>
              </wp:positionH>
              <wp:positionV relativeFrom="page">
                <wp:posOffset>691515</wp:posOffset>
              </wp:positionV>
              <wp:extent cx="1994535" cy="151765"/>
              <wp:effectExtent l="0" t="0" r="0" b="0"/>
              <wp:wrapNone/>
              <wp:docPr id="89353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250AD" w14:textId="77777777" w:rsidR="00F5166D" w:rsidRDefault="00623797">
                          <w:pPr>
                            <w:spacing w:before="2"/>
                            <w:ind w:left="20"/>
                            <w:rPr>
                              <w:rFonts w:ascii="Palatino Linotype"/>
                              <w:i/>
                              <w:sz w:val="16"/>
                            </w:rPr>
                          </w:pPr>
                          <w:r>
                            <w:rPr>
                              <w:rFonts w:ascii="Palatino Linotype"/>
                              <w:i/>
                              <w:sz w:val="16"/>
                            </w:rPr>
                            <w:t>Eur.</w:t>
                          </w:r>
                          <w:r>
                            <w:rPr>
                              <w:rFonts w:ascii="Palatino Linotype"/>
                              <w:i/>
                              <w:spacing w:val="-3"/>
                              <w:sz w:val="16"/>
                            </w:rPr>
                            <w:t xml:space="preserve"> </w:t>
                          </w:r>
                          <w:r>
                            <w:rPr>
                              <w:rFonts w:ascii="Palatino Linotype"/>
                              <w:i/>
                              <w:sz w:val="16"/>
                            </w:rPr>
                            <w:t>J.</w:t>
                          </w:r>
                          <w:r>
                            <w:rPr>
                              <w:rFonts w:ascii="Palatino Linotype"/>
                              <w:i/>
                              <w:spacing w:val="-9"/>
                              <w:sz w:val="16"/>
                            </w:rPr>
                            <w:t xml:space="preserve"> </w:t>
                          </w:r>
                          <w:r>
                            <w:rPr>
                              <w:rFonts w:ascii="Palatino Linotype"/>
                              <w:i/>
                              <w:sz w:val="16"/>
                            </w:rPr>
                            <w:t>Investig.</w:t>
                          </w:r>
                          <w:r>
                            <w:rPr>
                              <w:rFonts w:ascii="Palatino Linotype"/>
                              <w:i/>
                              <w:spacing w:val="-2"/>
                              <w:sz w:val="16"/>
                            </w:rPr>
                            <w:t xml:space="preserve"> </w:t>
                          </w:r>
                          <w:r>
                            <w:rPr>
                              <w:rFonts w:ascii="Palatino Linotype"/>
                              <w:i/>
                              <w:sz w:val="16"/>
                            </w:rPr>
                            <w:t>Health</w:t>
                          </w:r>
                          <w:r>
                            <w:rPr>
                              <w:rFonts w:ascii="Palatino Linotype"/>
                              <w:i/>
                              <w:spacing w:val="-10"/>
                              <w:sz w:val="16"/>
                            </w:rPr>
                            <w:t xml:space="preserve"> </w:t>
                          </w:r>
                          <w:r>
                            <w:rPr>
                              <w:rFonts w:ascii="Palatino Linotype"/>
                              <w:i/>
                              <w:sz w:val="16"/>
                            </w:rPr>
                            <w:t>Psychol.</w:t>
                          </w:r>
                          <w:r>
                            <w:rPr>
                              <w:rFonts w:ascii="Palatino Linotype"/>
                              <w:i/>
                              <w:spacing w:val="-2"/>
                              <w:sz w:val="16"/>
                            </w:rPr>
                            <w:t xml:space="preserve"> </w:t>
                          </w:r>
                          <w:r>
                            <w:rPr>
                              <w:rFonts w:ascii="Palatino Linotype"/>
                              <w:i/>
                              <w:sz w:val="16"/>
                            </w:rPr>
                            <w:t>Educ.</w:t>
                          </w:r>
                          <w:r>
                            <w:rPr>
                              <w:rFonts w:ascii="Palatino Linotype"/>
                              <w:i/>
                              <w:spacing w:val="-10"/>
                              <w:sz w:val="16"/>
                            </w:rPr>
                            <w:t xml:space="preserve"> </w:t>
                          </w:r>
                          <w:r>
                            <w:rPr>
                              <w:b/>
                              <w:sz w:val="16"/>
                            </w:rPr>
                            <w:t>2022</w:t>
                          </w:r>
                          <w:r>
                            <w:rPr>
                              <w:sz w:val="16"/>
                            </w:rPr>
                            <w:t>,</w:t>
                          </w:r>
                          <w:r>
                            <w:rPr>
                              <w:spacing w:val="-5"/>
                              <w:sz w:val="16"/>
                            </w:rPr>
                            <w:t xml:space="preserve"> </w:t>
                          </w:r>
                          <w:r>
                            <w:rPr>
                              <w:rFonts w:ascii="Palatino Linotype"/>
                              <w:i/>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3E2DF" id="_x0000_t202" coordsize="21600,21600" o:spt="202" path="m,l,21600r21600,l21600,xe">
              <v:stroke joinstyle="miter"/>
              <v:path gradientshapeok="t" o:connecttype="rect"/>
            </v:shapetype>
            <v:shape id="Text Box 2" o:spid="_x0000_s1029" type="#_x0000_t202" style="position:absolute;margin-left:34.45pt;margin-top:54.45pt;width:157.05pt;height:11.95pt;z-index:-1654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" filled="f" stroked="f">
              <v:textbox inset="0,0,0,0">
                <w:txbxContent>
                  <w:p w14:paraId="40A250AD" w14:textId="77777777" w:rsidR="00F5166D" w:rsidRDefault="00623797">
                    <w:pPr>
                      <w:spacing w:before="2"/>
                      <w:ind w:left="20"/>
                      <w:rPr>
                        <w:rFonts w:ascii="Palatino Linotype"/>
                        <w:i/>
                        <w:sz w:val="16"/>
                      </w:rPr>
                    </w:pPr>
                    <w:r>
                      <w:rPr>
                        <w:rFonts w:ascii="Palatino Linotype"/>
                        <w:i/>
                        <w:sz w:val="16"/>
                      </w:rPr>
                      <w:t>Eur.</w:t>
                    </w:r>
                    <w:r>
                      <w:rPr>
                        <w:rFonts w:ascii="Palatino Linotype"/>
                        <w:i/>
                        <w:spacing w:val="-3"/>
                        <w:sz w:val="16"/>
                      </w:rPr>
                      <w:t xml:space="preserve"> </w:t>
                    </w:r>
                    <w:r>
                      <w:rPr>
                        <w:rFonts w:ascii="Palatino Linotype"/>
                        <w:i/>
                        <w:sz w:val="16"/>
                      </w:rPr>
                      <w:t>J.</w:t>
                    </w:r>
                    <w:r>
                      <w:rPr>
                        <w:rFonts w:ascii="Palatino Linotype"/>
                        <w:i/>
                        <w:spacing w:val="-9"/>
                        <w:sz w:val="16"/>
                      </w:rPr>
                      <w:t xml:space="preserve"> </w:t>
                    </w:r>
                    <w:r>
                      <w:rPr>
                        <w:rFonts w:ascii="Palatino Linotype"/>
                        <w:i/>
                        <w:sz w:val="16"/>
                      </w:rPr>
                      <w:t>Investig.</w:t>
                    </w:r>
                    <w:r>
                      <w:rPr>
                        <w:rFonts w:ascii="Palatino Linotype"/>
                        <w:i/>
                        <w:spacing w:val="-2"/>
                        <w:sz w:val="16"/>
                      </w:rPr>
                      <w:t xml:space="preserve"> </w:t>
                    </w:r>
                    <w:r>
                      <w:rPr>
                        <w:rFonts w:ascii="Palatino Linotype"/>
                        <w:i/>
                        <w:sz w:val="16"/>
                      </w:rPr>
                      <w:t>Health</w:t>
                    </w:r>
                    <w:r>
                      <w:rPr>
                        <w:rFonts w:ascii="Palatino Linotype"/>
                        <w:i/>
                        <w:spacing w:val="-10"/>
                        <w:sz w:val="16"/>
                      </w:rPr>
                      <w:t xml:space="preserve"> </w:t>
                    </w:r>
                    <w:r>
                      <w:rPr>
                        <w:rFonts w:ascii="Palatino Linotype"/>
                        <w:i/>
                        <w:sz w:val="16"/>
                      </w:rPr>
                      <w:t>Psychol.</w:t>
                    </w:r>
                    <w:r>
                      <w:rPr>
                        <w:rFonts w:ascii="Palatino Linotype"/>
                        <w:i/>
                        <w:spacing w:val="-2"/>
                        <w:sz w:val="16"/>
                      </w:rPr>
                      <w:t xml:space="preserve"> </w:t>
                    </w:r>
                    <w:r>
                      <w:rPr>
                        <w:rFonts w:ascii="Palatino Linotype"/>
                        <w:i/>
                        <w:sz w:val="16"/>
                      </w:rPr>
                      <w:t>Educ.</w:t>
                    </w:r>
                    <w:r>
                      <w:rPr>
                        <w:rFonts w:ascii="Palatino Linotype"/>
                        <w:i/>
                        <w:spacing w:val="-10"/>
                        <w:sz w:val="16"/>
                      </w:rPr>
                      <w:t xml:space="preserve"> </w:t>
                    </w:r>
                    <w:r>
                      <w:rPr>
                        <w:b/>
                        <w:sz w:val="16"/>
                      </w:rPr>
                      <w:t>2022</w:t>
                    </w:r>
                    <w:r>
                      <w:rPr>
                        <w:sz w:val="16"/>
                      </w:rPr>
                      <w:t>,</w:t>
                    </w:r>
                    <w:r>
                      <w:rPr>
                        <w:spacing w:val="-5"/>
                        <w:sz w:val="16"/>
                      </w:rPr>
                      <w:t xml:space="preserve"> </w:t>
                    </w:r>
                    <w:r>
                      <w:rPr>
                        <w:rFonts w:ascii="Palatino Linotype"/>
                        <w:i/>
                        <w:sz w:val="16"/>
                      </w:rPr>
                      <w:t>12</w:t>
                    </w:r>
                  </w:p>
                </w:txbxContent>
              </v:textbox>
              <w10:wrap anchorx="page" anchory="page"/>
            </v:shape>
          </w:pict>
        </mc:Fallback>
      </mc:AlternateContent>
    </w:r>
    <w:r>
      <w:rPr>
        <w:noProof/>
      </w:rPr>
      <mc:AlternateContent>
        <mc:Choice Requires="wps">
          <w:drawing>
            <wp:anchor distT="0" distB="0" distL="114300" distR="114300" simplePos="0" relativeHeight="486772224" behindDoc="1" locked="0" layoutInCell="1" allowOverlap="1" wp14:anchorId="68D35CFA" wp14:editId="13DB6AD5">
              <wp:simplePos x="0" y="0"/>
              <wp:positionH relativeFrom="page">
                <wp:posOffset>6862445</wp:posOffset>
              </wp:positionH>
              <wp:positionV relativeFrom="page">
                <wp:posOffset>691515</wp:posOffset>
              </wp:positionV>
              <wp:extent cx="283845" cy="149860"/>
              <wp:effectExtent l="0" t="0" r="0" b="0"/>
              <wp:wrapNone/>
              <wp:docPr id="17690245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AE016" w14:textId="77777777" w:rsidR="00F5166D" w:rsidRDefault="00623797">
                          <w:pPr>
                            <w:spacing w:before="18"/>
                            <w:ind w:left="60"/>
                            <w:rPr>
                              <w:sz w:val="16"/>
                            </w:rPr>
                          </w:pPr>
                          <w:r>
                            <w:fldChar w:fldCharType="begin"/>
                          </w:r>
                          <w:r>
                            <w:rPr>
                              <w:sz w:val="16"/>
                            </w:rPr>
                            <w:instrText xml:space="preserve"> PAGE </w:instrText>
                          </w:r>
                          <w:r>
                            <w:fldChar w:fldCharType="separate"/>
                          </w:r>
                          <w:r>
                            <w:t>1035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35CFA" id="Text Box 1" o:spid="_x0000_s1030" type="#_x0000_t202" style="position:absolute;margin-left:540.35pt;margin-top:54.45pt;width:22.35pt;height:11.8pt;z-index:-165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" filled="f" stroked="f">
              <v:textbox inset="0,0,0,0">
                <w:txbxContent>
                  <w:p w14:paraId="7F7AE016" w14:textId="77777777" w:rsidR="00F5166D" w:rsidRDefault="00623797">
                    <w:pPr>
                      <w:spacing w:before="18"/>
                      <w:ind w:left="60"/>
                      <w:rPr>
                        <w:sz w:val="16"/>
                      </w:rPr>
                    </w:pPr>
                    <w:r>
                      <w:fldChar w:fldCharType="begin"/>
                    </w:r>
                    <w:r>
                      <w:rPr>
                        <w:sz w:val="16"/>
                      </w:rPr>
                      <w:instrText xml:space="preserve"> PAGE </w:instrText>
                    </w:r>
                    <w:r>
                      <w:fldChar w:fldCharType="separate"/>
                    </w:r>
                    <w:r>
                      <w:t>1035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63A21"/>
    <w:multiLevelType w:val="hybridMultilevel"/>
    <w:tmpl w:val="87C89AA0"/>
    <w:lvl w:ilvl="0" w:tplc="96C0A9D8">
      <w:numFmt w:val="bullet"/>
      <w:lvlText w:val="-"/>
      <w:lvlJc w:val="left"/>
      <w:pPr>
        <w:ind w:left="553" w:hanging="425"/>
      </w:pPr>
      <w:rPr>
        <w:rFonts w:ascii="Cambria" w:eastAsia="Cambria" w:hAnsi="Cambria" w:cs="Cambria" w:hint="default"/>
        <w:w w:val="99"/>
        <w:sz w:val="20"/>
        <w:szCs w:val="20"/>
        <w:lang w:val="en-US" w:eastAsia="en-US" w:bidi="ar-SA"/>
      </w:rPr>
    </w:lvl>
    <w:lvl w:ilvl="1" w:tplc="54B63B8C">
      <w:numFmt w:val="bullet"/>
      <w:lvlText w:val="o"/>
      <w:lvlJc w:val="left"/>
      <w:pPr>
        <w:ind w:left="3180" w:hanging="462"/>
      </w:pPr>
      <w:rPr>
        <w:rFonts w:ascii="Cambria" w:eastAsia="Cambria" w:hAnsi="Cambria" w:cs="Cambria" w:hint="default"/>
        <w:w w:val="102"/>
        <w:sz w:val="20"/>
        <w:szCs w:val="20"/>
        <w:lang w:val="en-US" w:eastAsia="en-US" w:bidi="ar-SA"/>
      </w:rPr>
    </w:lvl>
    <w:lvl w:ilvl="2" w:tplc="C1DA6914">
      <w:numFmt w:val="bullet"/>
      <w:lvlText w:val="•"/>
      <w:lvlJc w:val="left"/>
      <w:pPr>
        <w:ind w:left="3728" w:hanging="462"/>
      </w:pPr>
      <w:rPr>
        <w:rFonts w:hint="default"/>
        <w:lang w:val="en-US" w:eastAsia="en-US" w:bidi="ar-SA"/>
      </w:rPr>
    </w:lvl>
    <w:lvl w:ilvl="3" w:tplc="B7CEE4DA">
      <w:numFmt w:val="bullet"/>
      <w:lvlText w:val="•"/>
      <w:lvlJc w:val="left"/>
      <w:pPr>
        <w:ind w:left="4276" w:hanging="462"/>
      </w:pPr>
      <w:rPr>
        <w:rFonts w:hint="default"/>
        <w:lang w:val="en-US" w:eastAsia="en-US" w:bidi="ar-SA"/>
      </w:rPr>
    </w:lvl>
    <w:lvl w:ilvl="4" w:tplc="FC26E14A">
      <w:numFmt w:val="bullet"/>
      <w:lvlText w:val="•"/>
      <w:lvlJc w:val="left"/>
      <w:pPr>
        <w:ind w:left="4824" w:hanging="462"/>
      </w:pPr>
      <w:rPr>
        <w:rFonts w:hint="default"/>
        <w:lang w:val="en-US" w:eastAsia="en-US" w:bidi="ar-SA"/>
      </w:rPr>
    </w:lvl>
    <w:lvl w:ilvl="5" w:tplc="54D4E078">
      <w:numFmt w:val="bullet"/>
      <w:lvlText w:val="•"/>
      <w:lvlJc w:val="left"/>
      <w:pPr>
        <w:ind w:left="5372" w:hanging="462"/>
      </w:pPr>
      <w:rPr>
        <w:rFonts w:hint="default"/>
        <w:lang w:val="en-US" w:eastAsia="en-US" w:bidi="ar-SA"/>
      </w:rPr>
    </w:lvl>
    <w:lvl w:ilvl="6" w:tplc="D5D0321E">
      <w:numFmt w:val="bullet"/>
      <w:lvlText w:val="•"/>
      <w:lvlJc w:val="left"/>
      <w:pPr>
        <w:ind w:left="5920" w:hanging="462"/>
      </w:pPr>
      <w:rPr>
        <w:rFonts w:hint="default"/>
        <w:lang w:val="en-US" w:eastAsia="en-US" w:bidi="ar-SA"/>
      </w:rPr>
    </w:lvl>
    <w:lvl w:ilvl="7" w:tplc="1AB03F5E">
      <w:numFmt w:val="bullet"/>
      <w:lvlText w:val="•"/>
      <w:lvlJc w:val="left"/>
      <w:pPr>
        <w:ind w:left="6468" w:hanging="462"/>
      </w:pPr>
      <w:rPr>
        <w:rFonts w:hint="default"/>
        <w:lang w:val="en-US" w:eastAsia="en-US" w:bidi="ar-SA"/>
      </w:rPr>
    </w:lvl>
    <w:lvl w:ilvl="8" w:tplc="69DC7348">
      <w:numFmt w:val="bullet"/>
      <w:lvlText w:val="•"/>
      <w:lvlJc w:val="left"/>
      <w:pPr>
        <w:ind w:left="7016" w:hanging="462"/>
      </w:pPr>
      <w:rPr>
        <w:rFonts w:hint="default"/>
        <w:lang w:val="en-US" w:eastAsia="en-US" w:bidi="ar-SA"/>
      </w:rPr>
    </w:lvl>
  </w:abstractNum>
  <w:abstractNum w:abstractNumId="1" w15:restartNumberingAfterBreak="0">
    <w:nsid w:val="63FD1D8E"/>
    <w:multiLevelType w:val="multilevel"/>
    <w:tmpl w:val="7A7ECF18"/>
    <w:lvl w:ilvl="0">
      <w:start w:val="1"/>
      <w:numFmt w:val="decimal"/>
      <w:lvlText w:val="%1."/>
      <w:lvlJc w:val="left"/>
      <w:pPr>
        <w:ind w:left="326" w:hanging="212"/>
        <w:jc w:val="right"/>
      </w:pPr>
      <w:rPr>
        <w:rFonts w:ascii="Cambria" w:eastAsia="Cambria" w:hAnsi="Cambria" w:cs="Cambria" w:hint="default"/>
        <w:b/>
        <w:bCs/>
        <w:w w:val="90"/>
        <w:sz w:val="20"/>
        <w:szCs w:val="20"/>
        <w:lang w:val="en-US" w:eastAsia="en-US" w:bidi="ar-SA"/>
      </w:rPr>
    </w:lvl>
    <w:lvl w:ilvl="1">
      <w:start w:val="1"/>
      <w:numFmt w:val="decimal"/>
      <w:lvlText w:val="%1.%2."/>
      <w:lvlJc w:val="left"/>
      <w:pPr>
        <w:ind w:left="3088" w:hanging="361"/>
        <w:jc w:val="left"/>
      </w:pPr>
      <w:rPr>
        <w:rFonts w:ascii="Palatino Linotype" w:eastAsia="Palatino Linotype" w:hAnsi="Palatino Linotype" w:cs="Palatino Linotype" w:hint="default"/>
        <w:i/>
        <w:iCs/>
        <w:w w:val="99"/>
        <w:sz w:val="20"/>
        <w:szCs w:val="20"/>
        <w:lang w:val="en-US" w:eastAsia="en-US" w:bidi="ar-SA"/>
      </w:rPr>
    </w:lvl>
    <w:lvl w:ilvl="2">
      <w:start w:val="1"/>
      <w:numFmt w:val="decimal"/>
      <w:lvlText w:val="%1.%2.%3."/>
      <w:lvlJc w:val="left"/>
      <w:pPr>
        <w:ind w:left="3237" w:hanging="511"/>
        <w:jc w:val="left"/>
      </w:pPr>
      <w:rPr>
        <w:rFonts w:ascii="Cambria" w:eastAsia="Cambria" w:hAnsi="Cambria" w:cs="Cambria" w:hint="default"/>
        <w:w w:val="98"/>
        <w:sz w:val="20"/>
        <w:szCs w:val="20"/>
        <w:lang w:val="en-US" w:eastAsia="en-US" w:bidi="ar-SA"/>
      </w:rPr>
    </w:lvl>
    <w:lvl w:ilvl="3">
      <w:numFmt w:val="bullet"/>
      <w:lvlText w:val="•"/>
      <w:lvlJc w:val="left"/>
      <w:pPr>
        <w:ind w:left="3849" w:hanging="511"/>
      </w:pPr>
      <w:rPr>
        <w:rFonts w:hint="default"/>
        <w:lang w:val="en-US" w:eastAsia="en-US" w:bidi="ar-SA"/>
      </w:rPr>
    </w:lvl>
    <w:lvl w:ilvl="4">
      <w:numFmt w:val="bullet"/>
      <w:lvlText w:val="•"/>
      <w:lvlJc w:val="left"/>
      <w:pPr>
        <w:ind w:left="4458" w:hanging="511"/>
      </w:pPr>
      <w:rPr>
        <w:rFonts w:hint="default"/>
        <w:lang w:val="en-US" w:eastAsia="en-US" w:bidi="ar-SA"/>
      </w:rPr>
    </w:lvl>
    <w:lvl w:ilvl="5">
      <w:numFmt w:val="bullet"/>
      <w:lvlText w:val="•"/>
      <w:lvlJc w:val="left"/>
      <w:pPr>
        <w:ind w:left="5067" w:hanging="511"/>
      </w:pPr>
      <w:rPr>
        <w:rFonts w:hint="default"/>
        <w:lang w:val="en-US" w:eastAsia="en-US" w:bidi="ar-SA"/>
      </w:rPr>
    </w:lvl>
    <w:lvl w:ilvl="6">
      <w:numFmt w:val="bullet"/>
      <w:lvlText w:val="•"/>
      <w:lvlJc w:val="left"/>
      <w:pPr>
        <w:ind w:left="5676" w:hanging="511"/>
      </w:pPr>
      <w:rPr>
        <w:rFonts w:hint="default"/>
        <w:lang w:val="en-US" w:eastAsia="en-US" w:bidi="ar-SA"/>
      </w:rPr>
    </w:lvl>
    <w:lvl w:ilvl="7">
      <w:numFmt w:val="bullet"/>
      <w:lvlText w:val="•"/>
      <w:lvlJc w:val="left"/>
      <w:pPr>
        <w:ind w:left="6285" w:hanging="511"/>
      </w:pPr>
      <w:rPr>
        <w:rFonts w:hint="default"/>
        <w:lang w:val="en-US" w:eastAsia="en-US" w:bidi="ar-SA"/>
      </w:rPr>
    </w:lvl>
    <w:lvl w:ilvl="8">
      <w:numFmt w:val="bullet"/>
      <w:lvlText w:val="•"/>
      <w:lvlJc w:val="left"/>
      <w:pPr>
        <w:ind w:left="6894" w:hanging="511"/>
      </w:pPr>
      <w:rPr>
        <w:rFonts w:hint="default"/>
        <w:lang w:val="en-US" w:eastAsia="en-US" w:bidi="ar-SA"/>
      </w:rPr>
    </w:lvl>
  </w:abstractNum>
  <w:abstractNum w:abstractNumId="2" w15:restartNumberingAfterBreak="0">
    <w:nsid w:val="78D43AD3"/>
    <w:multiLevelType w:val="hybridMultilevel"/>
    <w:tmpl w:val="F94EAA1C"/>
    <w:lvl w:ilvl="0" w:tplc="9558D826">
      <w:start w:val="1"/>
      <w:numFmt w:val="decimal"/>
      <w:lvlText w:val="%1."/>
      <w:lvlJc w:val="left"/>
      <w:pPr>
        <w:ind w:left="544" w:hanging="431"/>
        <w:jc w:val="left"/>
      </w:pPr>
      <w:rPr>
        <w:rFonts w:ascii="Cambria" w:eastAsia="Cambria" w:hAnsi="Cambria" w:cs="Cambria" w:hint="default"/>
        <w:w w:val="98"/>
        <w:sz w:val="18"/>
        <w:szCs w:val="18"/>
        <w:lang w:val="en-US" w:eastAsia="en-US" w:bidi="ar-SA"/>
      </w:rPr>
    </w:lvl>
    <w:lvl w:ilvl="1" w:tplc="D4BE37DA">
      <w:numFmt w:val="bullet"/>
      <w:lvlText w:val="•"/>
      <w:lvlJc w:val="left"/>
      <w:pPr>
        <w:ind w:left="1558" w:hanging="431"/>
      </w:pPr>
      <w:rPr>
        <w:rFonts w:hint="default"/>
        <w:lang w:val="en-US" w:eastAsia="en-US" w:bidi="ar-SA"/>
      </w:rPr>
    </w:lvl>
    <w:lvl w:ilvl="2" w:tplc="0BAACAB0">
      <w:numFmt w:val="bullet"/>
      <w:lvlText w:val="•"/>
      <w:lvlJc w:val="left"/>
      <w:pPr>
        <w:ind w:left="2577" w:hanging="431"/>
      </w:pPr>
      <w:rPr>
        <w:rFonts w:hint="default"/>
        <w:lang w:val="en-US" w:eastAsia="en-US" w:bidi="ar-SA"/>
      </w:rPr>
    </w:lvl>
    <w:lvl w:ilvl="3" w:tplc="76C86DE8">
      <w:numFmt w:val="bullet"/>
      <w:lvlText w:val="•"/>
      <w:lvlJc w:val="left"/>
      <w:pPr>
        <w:ind w:left="3595" w:hanging="431"/>
      </w:pPr>
      <w:rPr>
        <w:rFonts w:hint="default"/>
        <w:lang w:val="en-US" w:eastAsia="en-US" w:bidi="ar-SA"/>
      </w:rPr>
    </w:lvl>
    <w:lvl w:ilvl="4" w:tplc="CB6A18DE">
      <w:numFmt w:val="bullet"/>
      <w:lvlText w:val="•"/>
      <w:lvlJc w:val="left"/>
      <w:pPr>
        <w:ind w:left="4614" w:hanging="431"/>
      </w:pPr>
      <w:rPr>
        <w:rFonts w:hint="default"/>
        <w:lang w:val="en-US" w:eastAsia="en-US" w:bidi="ar-SA"/>
      </w:rPr>
    </w:lvl>
    <w:lvl w:ilvl="5" w:tplc="40AA4140">
      <w:numFmt w:val="bullet"/>
      <w:lvlText w:val="•"/>
      <w:lvlJc w:val="left"/>
      <w:pPr>
        <w:ind w:left="5632" w:hanging="431"/>
      </w:pPr>
      <w:rPr>
        <w:rFonts w:hint="default"/>
        <w:lang w:val="en-US" w:eastAsia="en-US" w:bidi="ar-SA"/>
      </w:rPr>
    </w:lvl>
    <w:lvl w:ilvl="6" w:tplc="89BED30C">
      <w:numFmt w:val="bullet"/>
      <w:lvlText w:val="•"/>
      <w:lvlJc w:val="left"/>
      <w:pPr>
        <w:ind w:left="6651" w:hanging="431"/>
      </w:pPr>
      <w:rPr>
        <w:rFonts w:hint="default"/>
        <w:lang w:val="en-US" w:eastAsia="en-US" w:bidi="ar-SA"/>
      </w:rPr>
    </w:lvl>
    <w:lvl w:ilvl="7" w:tplc="33CCA806">
      <w:numFmt w:val="bullet"/>
      <w:lvlText w:val="•"/>
      <w:lvlJc w:val="left"/>
      <w:pPr>
        <w:ind w:left="7669" w:hanging="431"/>
      </w:pPr>
      <w:rPr>
        <w:rFonts w:hint="default"/>
        <w:lang w:val="en-US" w:eastAsia="en-US" w:bidi="ar-SA"/>
      </w:rPr>
    </w:lvl>
    <w:lvl w:ilvl="8" w:tplc="9A7C10B2">
      <w:numFmt w:val="bullet"/>
      <w:lvlText w:val="•"/>
      <w:lvlJc w:val="left"/>
      <w:pPr>
        <w:ind w:left="8688" w:hanging="431"/>
      </w:pPr>
      <w:rPr>
        <w:rFonts w:hint="default"/>
        <w:lang w:val="en-US" w:eastAsia="en-US" w:bidi="ar-SA"/>
      </w:rPr>
    </w:lvl>
  </w:abstractNum>
  <w:num w:numId="1" w16cid:durableId="709040287">
    <w:abstractNumId w:val="2"/>
  </w:num>
  <w:num w:numId="2" w16cid:durableId="1396397627">
    <w:abstractNumId w:val="0"/>
  </w:num>
  <w:num w:numId="3" w16cid:durableId="558127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6D"/>
    <w:rsid w:val="00623797"/>
    <w:rsid w:val="00741BBE"/>
    <w:rsid w:val="00D11C54"/>
    <w:rsid w:val="00F516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ABC9B"/>
  <w15:docId w15:val="{AF4777F2-0A77-40A8-85C8-8BCA5CD4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rPr>
  </w:style>
  <w:style w:type="paragraph" w:styleId="1">
    <w:name w:val="heading 1"/>
    <w:basedOn w:val="a"/>
    <w:uiPriority w:val="9"/>
    <w:qFormat/>
    <w:pPr>
      <w:ind w:left="2939" w:hanging="213"/>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25"/>
      <w:ind w:left="100" w:right="220" w:firstLine="13"/>
    </w:pPr>
    <w:rPr>
      <w:b/>
      <w:bCs/>
      <w:sz w:val="36"/>
      <w:szCs w:val="36"/>
    </w:rPr>
  </w:style>
  <w:style w:type="paragraph" w:styleId="a5">
    <w:name w:val="List Paragraph"/>
    <w:basedOn w:val="a"/>
    <w:uiPriority w:val="1"/>
    <w:qFormat/>
    <w:pPr>
      <w:ind w:left="544" w:hanging="431"/>
    </w:pPr>
  </w:style>
  <w:style w:type="paragraph" w:customStyle="1" w:styleId="TableParagraph">
    <w:name w:val="Table Paragraph"/>
    <w:basedOn w:val="a"/>
    <w:uiPriority w:val="1"/>
    <w:qFormat/>
    <w:pPr>
      <w:jc w:val="right"/>
    </w:pPr>
  </w:style>
  <w:style w:type="character" w:styleId="a6">
    <w:name w:val="Placeholder Text"/>
    <w:basedOn w:val="a0"/>
    <w:uiPriority w:val="99"/>
    <w:semiHidden/>
    <w:rsid w:val="00D11C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https://doi.org/10.3390/ejihpe12080074" TargetMode="External"/><Relationship Id="rId39" Type="http://schemas.openxmlformats.org/officeDocument/2006/relationships/hyperlink" Target="http://doi.org/10.1111/j.1540-5826.2006.00211.x" TargetMode="External"/><Relationship Id="rId21" Type="http://schemas.openxmlformats.org/officeDocument/2006/relationships/image" Target="media/image15.png"/><Relationship Id="rId34" Type="http://schemas.openxmlformats.org/officeDocument/2006/relationships/hyperlink" Target="http://doi.org/10.1177/0022219408317856" TargetMode="External"/><Relationship Id="rId42" Type="http://schemas.openxmlformats.org/officeDocument/2006/relationships/hyperlink" Target="http://doi.org/10.1037/0022-0663.84.1.43" TargetMode="External"/><Relationship Id="rId47" Type="http://schemas.openxmlformats.org/officeDocument/2006/relationships/hyperlink" Target="http://doi.org/10.1177/0143034316649231" TargetMode="External"/><Relationship Id="rId50" Type="http://schemas.openxmlformats.org/officeDocument/2006/relationships/hyperlink" Target="http://doi.org/10.1007/s12564-010-9090-4" TargetMode="External"/><Relationship Id="rId55" Type="http://schemas.openxmlformats.org/officeDocument/2006/relationships/hyperlink" Target="http://doi.org/10.1080/03055698.2014.930339" TargetMode="External"/><Relationship Id="rId63" Type="http://schemas.openxmlformats.org/officeDocument/2006/relationships/hyperlink" Target="http://doi.org/10.1016/j.sbspro.2014.05.152" TargetMode="External"/><Relationship Id="rId68" Type="http://schemas.openxmlformats.org/officeDocument/2006/relationships/hyperlink" Target="http://doi.org/10.1016/j.cedpsych.2006.10.001" TargetMode="External"/><Relationship Id="rId76" Type="http://schemas.openxmlformats.org/officeDocument/2006/relationships/hyperlink" Target="http://www.ncbi.nlm.nih.gov/pubmed/32183804" TargetMode="External"/><Relationship Id="rId84" Type="http://schemas.openxmlformats.org/officeDocument/2006/relationships/hyperlink" Target="http://doi.org/10.2307/4126965" TargetMode="Externa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doi.org/10.1037/0003-066X.34.10.906"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creativecommons.org/licenses/by/4.0/" TargetMode="External"/><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header" Target="header1.xml"/><Relationship Id="rId37" Type="http://schemas.openxmlformats.org/officeDocument/2006/relationships/hyperlink" Target="https://icd.who.int/" TargetMode="External"/><Relationship Id="rId40" Type="http://schemas.openxmlformats.org/officeDocument/2006/relationships/hyperlink" Target="http://doi.org/10.2307/1593629" TargetMode="External"/><Relationship Id="rId45" Type="http://schemas.openxmlformats.org/officeDocument/2006/relationships/hyperlink" Target="http://doi.org/10.13189/ujer.2021.090415" TargetMode="External"/><Relationship Id="rId53" Type="http://schemas.openxmlformats.org/officeDocument/2006/relationships/hyperlink" Target="http://doi.org/10.1111/j.1540-5826.2004.00085.x" TargetMode="External"/><Relationship Id="rId58" Type="http://schemas.openxmlformats.org/officeDocument/2006/relationships/hyperlink" Target="http://doi.org/10.3102/00346543066004543" TargetMode="External"/><Relationship Id="rId66" Type="http://schemas.openxmlformats.org/officeDocument/2006/relationships/hyperlink" Target="http://doi.org/10.1016/S0022-4405(03)00028-1" TargetMode="External"/><Relationship Id="rId74" Type="http://schemas.openxmlformats.org/officeDocument/2006/relationships/hyperlink" Target="http://www.ncbi.nlm.nih.gov/pubmed/26025926" TargetMode="External"/><Relationship Id="rId79" Type="http://schemas.openxmlformats.org/officeDocument/2006/relationships/hyperlink" Target="http://doi.org/10.12973/edupij.2016.51.4" TargetMode="External"/><Relationship Id="rId87" Type="http://schemas.openxmlformats.org/officeDocument/2006/relationships/hyperlink" Target="http://doi.org/10.20982/tqmp.03.2.p043" TargetMode="External"/><Relationship Id="rId5" Type="http://schemas.openxmlformats.org/officeDocument/2006/relationships/footnotes" Target="footnotes.xml"/><Relationship Id="rId61" Type="http://schemas.openxmlformats.org/officeDocument/2006/relationships/hyperlink" Target="http://doi.org/10.2307/1131888" TargetMode="External"/><Relationship Id="rId82" Type="http://schemas.openxmlformats.org/officeDocument/2006/relationships/hyperlink" Target="http://doi.org/10.1007/s11881-021-00218-0" TargetMode="Externa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valarosa@unict.it" TargetMode="External"/><Relationship Id="rId27" Type="http://schemas.openxmlformats.org/officeDocument/2006/relationships/image" Target="media/image17.png"/><Relationship Id="rId30" Type="http://schemas.openxmlformats.org/officeDocument/2006/relationships/hyperlink" Target="https://doi.org/10.3390/ejihpe12080074" TargetMode="External"/><Relationship Id="rId35" Type="http://schemas.openxmlformats.org/officeDocument/2006/relationships/hyperlink" Target="http://www.ncbi.nlm.nih.gov/pubmed/18625783" TargetMode="External"/><Relationship Id="rId43" Type="http://schemas.openxmlformats.org/officeDocument/2006/relationships/hyperlink" Target="http://doi.org/10.3390/educsci10120359" TargetMode="External"/><Relationship Id="rId48" Type="http://schemas.openxmlformats.org/officeDocument/2006/relationships/hyperlink" Target="http://doi.org/10.1177/0735633117718226" TargetMode="External"/><Relationship Id="rId56" Type="http://schemas.openxmlformats.org/officeDocument/2006/relationships/hyperlink" Target="http://doi.org/10.1177/0741932508327460" TargetMode="External"/><Relationship Id="rId64" Type="http://schemas.openxmlformats.org/officeDocument/2006/relationships/hyperlink" Target="http://doi.org/10.1016/j.lindif.2013.07.006" TargetMode="External"/><Relationship Id="rId69" Type="http://schemas.openxmlformats.org/officeDocument/2006/relationships/hyperlink" Target="http://doi.org/10.1177/073194871003300102" TargetMode="External"/><Relationship Id="rId77" Type="http://schemas.openxmlformats.org/officeDocument/2006/relationships/hyperlink" Target="http://doi.org/10.1590/1678-7757-2017-0414" TargetMode="External"/><Relationship Id="rId8" Type="http://schemas.openxmlformats.org/officeDocument/2006/relationships/image" Target="media/image2.png"/><Relationship Id="rId51" Type="http://schemas.openxmlformats.org/officeDocument/2006/relationships/hyperlink" Target="http://doi.org/10.1177/1080569912460400" TargetMode="External"/><Relationship Id="rId72" Type="http://schemas.openxmlformats.org/officeDocument/2006/relationships/hyperlink" Target="http://doi.org/10.5539/jedp.v4n1p27" TargetMode="External"/><Relationship Id="rId80" Type="http://schemas.openxmlformats.org/officeDocument/2006/relationships/hyperlink" Target="http://doi.org/10.1007/s11409-006-7263-7" TargetMode="External"/><Relationship Id="rId85" Type="http://schemas.openxmlformats.org/officeDocument/2006/relationships/hyperlink" Target="http://userpage.fu-berlin.de/~%7B%7Dhealth/italian.htm"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3390/ejihpe12080074" TargetMode="External"/><Relationship Id="rId33" Type="http://schemas.openxmlformats.org/officeDocument/2006/relationships/image" Target="media/image18.jpeg"/><Relationship Id="rId38" Type="http://schemas.openxmlformats.org/officeDocument/2006/relationships/hyperlink" Target="http://doi.org/10.1177/002221940303600203" TargetMode="External"/><Relationship Id="rId46" Type="http://schemas.openxmlformats.org/officeDocument/2006/relationships/hyperlink" Target="http://doi.org/10.3390/educsci8010037" TargetMode="External"/><Relationship Id="rId59" Type="http://schemas.openxmlformats.org/officeDocument/2006/relationships/hyperlink" Target="http://doi.org/10.2466/pr0.1982.51.2.663" TargetMode="External"/><Relationship Id="rId67" Type="http://schemas.openxmlformats.org/officeDocument/2006/relationships/hyperlink" Target="http://doi.org/10.2307/1511276" TargetMode="External"/><Relationship Id="rId20" Type="http://schemas.openxmlformats.org/officeDocument/2006/relationships/image" Target="media/image14.png"/><Relationship Id="rId41" Type="http://schemas.openxmlformats.org/officeDocument/2006/relationships/hyperlink" Target="http://doi.org/10.1037/0735-7028.35.4.364" TargetMode="External"/><Relationship Id="rId54" Type="http://schemas.openxmlformats.org/officeDocument/2006/relationships/hyperlink" Target="http://doi.org/10.2307/1593630" TargetMode="External"/><Relationship Id="rId62" Type="http://schemas.openxmlformats.org/officeDocument/2006/relationships/hyperlink" Target="http://doi.org/10.1002/tea.20131" TargetMode="External"/><Relationship Id="rId70" Type="http://schemas.openxmlformats.org/officeDocument/2006/relationships/hyperlink" Target="http://doi.org/10.1177/0022219412439325" TargetMode="External"/><Relationship Id="rId75" Type="http://schemas.openxmlformats.org/officeDocument/2006/relationships/hyperlink" Target="http://doi.org/10.1186/s12909-020-01995-9" TargetMode="External"/><Relationship Id="rId83" Type="http://schemas.openxmlformats.org/officeDocument/2006/relationships/hyperlink" Target="http://doi.org/10.5539/ijel.v6n4p213"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hyperlink" Target="mailto:osa@unict.it" TargetMode="External"/><Relationship Id="rId28" Type="http://schemas.openxmlformats.org/officeDocument/2006/relationships/hyperlink" Target="https://creativecommons.org/licenses/by/4.0/" TargetMode="External"/><Relationship Id="rId36" Type="http://schemas.openxmlformats.org/officeDocument/2006/relationships/hyperlink" Target="https://icd.who.int/" TargetMode="External"/><Relationship Id="rId49" Type="http://schemas.openxmlformats.org/officeDocument/2006/relationships/hyperlink" Target="http://doi.org/10.5539/ijel.v10n5p343" TargetMode="External"/><Relationship Id="rId57" Type="http://schemas.openxmlformats.org/officeDocument/2006/relationships/hyperlink" Target="http://doi.org/10.1111/cpsp.12216" TargetMode="External"/><Relationship Id="rId10" Type="http://schemas.openxmlformats.org/officeDocument/2006/relationships/image" Target="media/image4.png"/><Relationship Id="rId31" Type="http://schemas.openxmlformats.org/officeDocument/2006/relationships/hyperlink" Target="https://www.mdpi.com/journal/ejihpe" TargetMode="External"/><Relationship Id="rId44" Type="http://schemas.openxmlformats.org/officeDocument/2006/relationships/hyperlink" Target="http://doi.org/10.1177/001698620004400205" TargetMode="External"/><Relationship Id="rId52" Type="http://schemas.openxmlformats.org/officeDocument/2006/relationships/hyperlink" Target="http://doi.org/10.1016/j.paid.2022.111791" TargetMode="External"/><Relationship Id="rId60" Type="http://schemas.openxmlformats.org/officeDocument/2006/relationships/hyperlink" Target="http://doi.org/10.1037/0003-066X.37.2.122" TargetMode="External"/><Relationship Id="rId65" Type="http://schemas.openxmlformats.org/officeDocument/2006/relationships/hyperlink" Target="http://doi.org/10.2117/psysoc.2002.211" TargetMode="External"/><Relationship Id="rId73" Type="http://schemas.openxmlformats.org/officeDocument/2006/relationships/hyperlink" Target="http://doi.org/10.1177/0022219415588850" TargetMode="External"/><Relationship Id="rId78" Type="http://schemas.openxmlformats.org/officeDocument/2006/relationships/hyperlink" Target="http://www.ncbi.nlm.nih.gov/pubmed/30043932" TargetMode="External"/><Relationship Id="rId81" Type="http://schemas.openxmlformats.org/officeDocument/2006/relationships/hyperlink" Target="http://doi.org/10.2307/1511279" TargetMode="External"/><Relationship Id="rId86" Type="http://schemas.openxmlformats.org/officeDocument/2006/relationships/hyperlink" Target="http://userpage.fu-berlin.de/~%7B%7Dhealth/itali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10867</Words>
  <Characters>58683</Characters>
  <Application>Microsoft Office Word</Application>
  <DocSecurity>0</DocSecurity>
  <Lines>489</Lines>
  <Paragraphs>138</Paragraphs>
  <ScaleCrop>false</ScaleCrop>
  <Company/>
  <LinksUpToDate>false</LinksUpToDate>
  <CharactersWithSpaces>69412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Διαπροσωπική προσαρμογή, αυτοαποτελεσματικότητα και μεταγνωστικές δεξιότητες σε Ιταλούς εφήβους με ειδικές μαθησιακές διαταραχές: Μια συγχρονική μελέτη</dc:title>
  <dc:subject>Αυτή η μελέτη είχε ως στόχο να διερευνήσει τη διαπροσωπική προσαρμογή, τη γενικευμένη αυτο-αποτελεσματικότητα και τις μεταγνωστικές δεξιότητες σε ένα δείγμα Ιταλών εφήβων με και χωρίς ειδική μαθησιακή διαταραχή (SLD). Συνολικά 564 μαθητές δευτεροβάθμιας και δευτεροβάθμιας εκπαίδευσης (άνδρες = 236, γυναίκες = 328, εύρος ηλικιών: 11–19, M = 16,14, SD = 1,70) ολοκλήρωσε ένα σύνολο τυποποιημένων τεστ αξιολόγησης κοινωνικών και διαπροσωπικών δεξιοτήτων (μη επιβεβαίωση, παρορμητικότητα, ναρκισσισμός, κοινωνική ανησυχία και άγχος σε κοινωνικές καταστάσεις), γενική αυτο-αποτελεσματικότητα και μεταγνώση. Οι μαθητές με SLD ανέφεραν χαμηλότερη διαπροσωπική προσαρμογή από τους μαθητές χωρίς SLD. Επιπλέον, οι μαθητές με SLD ήταν πιο παρορμητικοί και είχαν περισσότερα προβλήματα χειρισμού κοινωνικών καταστάσεων. Ανέφεραν επίσης χαμηλότερα επίπεδα αυτο-αποτελεσματικότητας αλλά υψηλότερες βαθμολογίες μεταγνώσης από τους συνομηλίκους χωρίς SLD. Η χρήση αντισταθμιστικών εργαλείων συσχετίστηκε με καλύτερες διαπροσωπικές δεξιότητες και υψηλότερα επίπεδα αυτο-αποτελεσματικότητας σε μαθητές με SLD. Τέλος, η χρήση αυτών των εργαλείων είναι προγνωστική για υψηλά επίπεδα μεταγνωστικών δεξιοτήτων σε εφήβους με SLD. Σύμφωνα με την προηγούμενη βιβλιογραφία, αυτή η μελέτη έδειξε την παρουσία ενός χάσματος μεταξύ των εφήβων με και χωρίς SLD όσον αφορά τη διαπροσωπική προσαρμογή, τη γενική αυτο-αποτελεσματικότητα και τις μεταγνωστικές δεξιότητες στο σχολικό πλαίσιο. Απαιτούνται περαιτέρω μελέτες σχετικά με την ψυχολογική ευημερία των εφήβων με ΣΜΛ και ιδιαίτερα σχετικά με τον προστατευτικό ρόλο των προσωπικών, κοινωνικών και περιβαλλοντικών χαρακτηριστικών.</dc:subject>
  <dc:creator>Elena Commodari, Valentina Lucia La Rosa, Elisabetta Sagone and Maria Luisa Indiana</dc:creator>
  <cp:keywords>specific learning disorder; interpersonal adaptation; self-efficacy; metacognition; adolescence</cp:keywords>
  <cp:lastModifiedBy>maria koreas</cp:lastModifiedBy>
  <cp:revision>1</cp:revision>
  <dcterms:created xsi:type="dcterms:W3CDTF">2023-09-26T05:53:00Z</dcterms:created>
  <dcterms:modified xsi:type="dcterms:W3CDTF">2023-09-26T05:55:00Z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LaTeX with hyperref</vt:lpwstr>
  </property>
  <property fmtid="{D5CDD505-2E9C-101B-9397-08002B2CF9AE}" pid="4" name="LastSaved">
    <vt:filetime>2023-09-26T00:00:00Z</vt:filetime>
  </property>
</Properties>
</file>