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E926" w14:textId="64EE4E04" w:rsidR="008800B5" w:rsidRPr="00E918BE" w:rsidRDefault="00B377BA" w:rsidP="00811511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E918BE">
        <w:rPr>
          <w:rFonts w:ascii="Arial" w:hAnsi="Arial" w:cs="Arial"/>
          <w:b/>
          <w:sz w:val="22"/>
          <w:szCs w:val="22"/>
          <w:lang w:val="en-US"/>
        </w:rPr>
        <w:t xml:space="preserve">Association of ADMA, Hippurate and Malate metabolites in blood and urine, with type-2 diabetes mellitus (T2DM). </w:t>
      </w:r>
    </w:p>
    <w:p w14:paraId="66DC8CA0" w14:textId="77777777" w:rsidR="008800B5" w:rsidRPr="00E918BE" w:rsidRDefault="008800B5" w:rsidP="00811511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6B022836" w14:textId="3142BEA1" w:rsidR="002337A8" w:rsidRPr="00E918BE" w:rsidRDefault="002337A8" w:rsidP="00811511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Maria-Christina </w:t>
      </w:r>
      <w:proofErr w:type="spellStart"/>
      <w:r w:rsidRPr="00E918BE">
        <w:rPr>
          <w:rFonts w:ascii="Arial" w:hAnsi="Arial" w:cs="Arial"/>
          <w:bCs/>
          <w:sz w:val="22"/>
          <w:szCs w:val="22"/>
          <w:lang w:val="en-US"/>
        </w:rPr>
        <w:t>Partsalaki</w:t>
      </w:r>
      <w:proofErr w:type="spellEnd"/>
      <w:r w:rsidR="00F94E63" w:rsidRPr="00E918BE">
        <w:rPr>
          <w:rFonts w:ascii="Arial" w:hAnsi="Arial" w:cs="Arial"/>
          <w:bCs/>
          <w:sz w:val="22"/>
          <w:szCs w:val="22"/>
          <w:vertAlign w:val="superscript"/>
          <w:lang w:val="en-US"/>
        </w:rPr>
        <w:t>‡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, Eleni </w:t>
      </w:r>
      <w:proofErr w:type="spellStart"/>
      <w:r w:rsidRPr="00E918BE">
        <w:rPr>
          <w:rFonts w:ascii="Arial" w:hAnsi="Arial" w:cs="Arial"/>
          <w:bCs/>
          <w:sz w:val="22"/>
          <w:szCs w:val="22"/>
          <w:lang w:val="en-US"/>
        </w:rPr>
        <w:t>Tsa</w:t>
      </w:r>
      <w:r w:rsidR="0072639D" w:rsidRPr="00E918BE">
        <w:rPr>
          <w:rFonts w:ascii="Arial" w:hAnsi="Arial" w:cs="Arial"/>
          <w:bCs/>
          <w:sz w:val="22"/>
          <w:szCs w:val="22"/>
          <w:lang w:val="en-US"/>
        </w:rPr>
        <w:t>mp</w:t>
      </w:r>
      <w:r w:rsidRPr="00E918BE">
        <w:rPr>
          <w:rFonts w:ascii="Arial" w:hAnsi="Arial" w:cs="Arial"/>
          <w:bCs/>
          <w:sz w:val="22"/>
          <w:szCs w:val="22"/>
          <w:lang w:val="en-US"/>
        </w:rPr>
        <w:t>a</w:t>
      </w:r>
      <w:proofErr w:type="spellEnd"/>
      <w:r w:rsidR="00F94E63" w:rsidRPr="00E918BE">
        <w:rPr>
          <w:rFonts w:ascii="Arial" w:hAnsi="Arial" w:cs="Arial"/>
          <w:bCs/>
          <w:sz w:val="22"/>
          <w:szCs w:val="22"/>
          <w:vertAlign w:val="superscript"/>
          <w:lang w:val="en-US"/>
        </w:rPr>
        <w:t>‡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, Marianna </w:t>
      </w:r>
      <w:proofErr w:type="spellStart"/>
      <w:r w:rsidRPr="00E918BE">
        <w:rPr>
          <w:rFonts w:ascii="Arial" w:hAnsi="Arial" w:cs="Arial"/>
          <w:bCs/>
          <w:sz w:val="22"/>
          <w:szCs w:val="22"/>
          <w:lang w:val="en-US"/>
        </w:rPr>
        <w:t>Stavrakaki</w:t>
      </w:r>
      <w:proofErr w:type="spellEnd"/>
      <w:r w:rsidR="00F94E63" w:rsidRPr="00E918BE">
        <w:rPr>
          <w:rFonts w:ascii="Arial" w:hAnsi="Arial" w:cs="Arial"/>
          <w:bCs/>
          <w:sz w:val="22"/>
          <w:szCs w:val="22"/>
          <w:vertAlign w:val="superscript"/>
          <w:lang w:val="en-US"/>
        </w:rPr>
        <w:t>‡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, Magdalini </w:t>
      </w:r>
      <w:proofErr w:type="spellStart"/>
      <w:r w:rsidRPr="00E918BE">
        <w:rPr>
          <w:rFonts w:ascii="Arial" w:hAnsi="Arial" w:cs="Arial"/>
          <w:bCs/>
          <w:sz w:val="22"/>
          <w:szCs w:val="22"/>
          <w:lang w:val="en-US"/>
        </w:rPr>
        <w:t>Drouga</w:t>
      </w:r>
      <w:proofErr w:type="spellEnd"/>
      <w:r w:rsidR="00F94E63" w:rsidRPr="00E918BE">
        <w:rPr>
          <w:rFonts w:ascii="Arial" w:hAnsi="Arial" w:cs="Arial"/>
          <w:bCs/>
          <w:sz w:val="22"/>
          <w:szCs w:val="22"/>
          <w:vertAlign w:val="superscript"/>
          <w:lang w:val="en-US"/>
        </w:rPr>
        <w:t>‡</w:t>
      </w:r>
      <w:r w:rsidRPr="00E918BE">
        <w:rPr>
          <w:rFonts w:ascii="Arial" w:hAnsi="Arial" w:cs="Arial"/>
          <w:bCs/>
          <w:sz w:val="22"/>
          <w:szCs w:val="22"/>
          <w:lang w:val="en-US"/>
        </w:rPr>
        <w:t>, Sotirios-Spyridon Vamvakas*</w:t>
      </w:r>
    </w:p>
    <w:p w14:paraId="6A7BC6EE" w14:textId="77777777" w:rsidR="002337A8" w:rsidRPr="00E918BE" w:rsidRDefault="002337A8" w:rsidP="00811511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D893E2E" w14:textId="52B46C44" w:rsidR="004D6766" w:rsidRPr="00E918BE" w:rsidRDefault="004D6766" w:rsidP="00811511">
      <w:pPr>
        <w:spacing w:after="0" w:line="240" w:lineRule="auto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Department of Nutritional Science and Dietetics, School of Health Sciences, University of the Peloponnese, </w:t>
      </w: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Antikalamos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, 24100 Kalamata, Greece</w:t>
      </w:r>
    </w:p>
    <w:p w14:paraId="2E28CC9D" w14:textId="0E0A9BB7" w:rsidR="00B377BA" w:rsidRPr="00E918BE" w:rsidRDefault="00F94E63" w:rsidP="004D6766">
      <w:pPr>
        <w:spacing w:after="0" w:line="240" w:lineRule="auto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E918BE">
        <w:rPr>
          <w:rFonts w:ascii="Arial" w:hAnsi="Arial" w:cs="Arial"/>
          <w:b/>
          <w:sz w:val="22"/>
          <w:szCs w:val="22"/>
          <w:vertAlign w:val="superscript"/>
          <w:lang w:val="en-US"/>
        </w:rPr>
        <w:t>‡</w:t>
      </w:r>
      <w:r w:rsidR="00B377BA"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: These authors contributed equally to this work</w:t>
      </w:r>
    </w:p>
    <w:p w14:paraId="2D27D84F" w14:textId="718637B4" w:rsidR="004D6766" w:rsidRPr="00E918BE" w:rsidRDefault="00B377BA" w:rsidP="004D6766">
      <w:pPr>
        <w:spacing w:after="0" w:line="240" w:lineRule="auto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*: </w:t>
      </w:r>
      <w:r w:rsidR="004D6766"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e-mail: Sotirios-Spyridon </w:t>
      </w:r>
      <w:proofErr w:type="spellStart"/>
      <w:r w:rsidR="004D6766"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Vamvakas</w:t>
      </w:r>
      <w:proofErr w:type="spellEnd"/>
      <w:r w:rsidR="004D6766"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(</w:t>
      </w:r>
      <w:hyperlink r:id="rId5" w:history="1">
        <w:r w:rsidR="004D6766" w:rsidRPr="00E918BE">
          <w:rPr>
            <w:rStyle w:val="-"/>
            <w:rFonts w:ascii="Arial" w:hAnsi="Arial" w:cs="Arial"/>
            <w:bCs/>
            <w:i/>
            <w:iCs/>
            <w:sz w:val="22"/>
            <w:szCs w:val="22"/>
            <w:lang w:val="en-US"/>
          </w:rPr>
          <w:t>svamvakas@go.uop.gr</w:t>
        </w:r>
      </w:hyperlink>
      <w:r w:rsidR="004D6766"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)</w:t>
      </w:r>
    </w:p>
    <w:p w14:paraId="08A8B939" w14:textId="77777777" w:rsidR="004D6766" w:rsidRPr="00E918BE" w:rsidRDefault="004D6766" w:rsidP="00811511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2698D41C" w14:textId="77777777" w:rsidR="00141E4F" w:rsidRPr="00E918BE" w:rsidRDefault="00141E4F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  <w:lang w:val="en-US"/>
        </w:rPr>
      </w:pPr>
      <w:r w:rsidRPr="00E918BE">
        <w:rPr>
          <w:rFonts w:ascii="Arial" w:hAnsi="Arial" w:cs="Arial"/>
          <w:bCs/>
          <w:sz w:val="22"/>
          <w:szCs w:val="22"/>
          <w:u w:val="single"/>
          <w:lang w:val="en-US"/>
        </w:rPr>
        <w:t>Introduction</w:t>
      </w:r>
    </w:p>
    <w:p w14:paraId="1DC4186A" w14:textId="2D8BAD07" w:rsidR="008800B5" w:rsidRPr="00E918BE" w:rsidRDefault="008800B5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Metabolomic analysis (MA) </w:t>
      </w:r>
      <w:r w:rsidR="0029413A" w:rsidRPr="00E918BE">
        <w:rPr>
          <w:rFonts w:ascii="Arial" w:hAnsi="Arial" w:cs="Arial"/>
          <w:bCs/>
          <w:sz w:val="22"/>
          <w:szCs w:val="22"/>
          <w:lang w:val="en-US"/>
        </w:rPr>
        <w:t>is a leading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 approach for investigating the </w:t>
      </w:r>
      <w:r w:rsidR="001658D4" w:rsidRPr="00E918BE">
        <w:rPr>
          <w:rFonts w:ascii="Arial" w:hAnsi="Arial" w:cs="Arial"/>
          <w:bCs/>
          <w:sz w:val="22"/>
          <w:szCs w:val="22"/>
          <w:lang w:val="en-US"/>
        </w:rPr>
        <w:t>etiology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, progression, and severity of </w:t>
      </w:r>
      <w:r w:rsidR="003646C9" w:rsidRPr="00E918BE">
        <w:rPr>
          <w:rFonts w:ascii="Arial" w:hAnsi="Arial" w:cs="Arial"/>
          <w:bCs/>
          <w:sz w:val="22"/>
          <w:szCs w:val="22"/>
          <w:lang w:val="en-US"/>
        </w:rPr>
        <w:t xml:space="preserve">a 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disease. </w:t>
      </w:r>
      <w:r w:rsidR="00723E82" w:rsidRPr="00E918B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A51B3D" w:rsidRPr="00E918BE">
        <w:rPr>
          <w:rFonts w:ascii="Arial" w:hAnsi="Arial" w:cs="Arial"/>
          <w:bCs/>
          <w:sz w:val="22"/>
          <w:szCs w:val="22"/>
          <w:lang w:val="en-US"/>
        </w:rPr>
        <w:t>Recent</w:t>
      </w:r>
      <w:r w:rsidR="00723E82" w:rsidRPr="00E918BE">
        <w:rPr>
          <w:rFonts w:ascii="Arial" w:hAnsi="Arial" w:cs="Arial"/>
          <w:bCs/>
          <w:sz w:val="22"/>
          <w:szCs w:val="22"/>
          <w:lang w:val="en-US"/>
        </w:rPr>
        <w:t xml:space="preserve"> s</w:t>
      </w:r>
      <w:r w:rsidRPr="00E918BE">
        <w:rPr>
          <w:rFonts w:ascii="Arial" w:hAnsi="Arial" w:cs="Arial"/>
          <w:bCs/>
          <w:sz w:val="22"/>
          <w:szCs w:val="22"/>
          <w:lang w:val="en-US"/>
        </w:rPr>
        <w:t>tudies</w:t>
      </w:r>
      <w:r w:rsidR="0029413A" w:rsidRPr="00E918BE">
        <w:rPr>
          <w:rFonts w:ascii="Arial" w:hAnsi="Arial" w:cs="Arial"/>
          <w:bCs/>
          <w:sz w:val="22"/>
          <w:szCs w:val="22"/>
          <w:lang w:val="en-US"/>
        </w:rPr>
        <w:t xml:space="preserve"> suggest a link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 between specific metabolites and</w:t>
      </w:r>
      <w:r w:rsidR="0029413A" w:rsidRPr="00E918BE">
        <w:rPr>
          <w:rFonts w:ascii="Arial" w:hAnsi="Arial" w:cs="Arial"/>
          <w:bCs/>
          <w:sz w:val="22"/>
          <w:szCs w:val="22"/>
          <w:lang w:val="en-US"/>
        </w:rPr>
        <w:t xml:space="preserve"> both </w:t>
      </w:r>
      <w:r w:rsidRPr="00E918BE">
        <w:rPr>
          <w:rFonts w:ascii="Arial" w:hAnsi="Arial" w:cs="Arial"/>
          <w:bCs/>
          <w:sz w:val="22"/>
          <w:szCs w:val="22"/>
          <w:lang w:val="en-US"/>
        </w:rPr>
        <w:t>the onset</w:t>
      </w:r>
      <w:r w:rsidR="0029413A" w:rsidRPr="00E918BE">
        <w:rPr>
          <w:rFonts w:ascii="Arial" w:hAnsi="Arial" w:cs="Arial"/>
          <w:bCs/>
          <w:sz w:val="22"/>
          <w:szCs w:val="22"/>
          <w:lang w:val="en-US"/>
        </w:rPr>
        <w:t xml:space="preserve"> and progression </w:t>
      </w:r>
      <w:r w:rsidRPr="00E918BE">
        <w:rPr>
          <w:rFonts w:ascii="Arial" w:hAnsi="Arial" w:cs="Arial"/>
          <w:bCs/>
          <w:sz w:val="22"/>
          <w:szCs w:val="22"/>
          <w:lang w:val="en-US"/>
        </w:rPr>
        <w:t>of type 2 diabetes mellitus (T2DM).</w:t>
      </w:r>
      <w:r w:rsidR="004F3062" w:rsidRPr="00E918BE">
        <w:rPr>
          <w:rFonts w:ascii="Arial" w:hAnsi="Arial" w:cs="Arial"/>
          <w:bCs/>
          <w:sz w:val="22"/>
          <w:szCs w:val="22"/>
          <w:lang w:val="en-US"/>
        </w:rPr>
        <w:t xml:space="preserve"> This cross-sectional stud</w:t>
      </w:r>
      <w:r w:rsidR="0029413A" w:rsidRPr="00E918BE">
        <w:rPr>
          <w:rFonts w:ascii="Arial" w:hAnsi="Arial" w:cs="Arial"/>
          <w:bCs/>
          <w:sz w:val="22"/>
          <w:szCs w:val="22"/>
          <w:lang w:val="en-US"/>
        </w:rPr>
        <w:t xml:space="preserve">y </w:t>
      </w:r>
      <w:r w:rsidR="00A51B3D" w:rsidRPr="00E918BE">
        <w:rPr>
          <w:rFonts w:ascii="Arial" w:hAnsi="Arial" w:cs="Arial"/>
          <w:bCs/>
          <w:sz w:val="22"/>
          <w:szCs w:val="22"/>
          <w:lang w:val="en-US"/>
        </w:rPr>
        <w:t>investigates potential</w:t>
      </w:r>
      <w:r w:rsidR="004F3062" w:rsidRPr="00E918BE">
        <w:rPr>
          <w:rFonts w:ascii="Arial" w:hAnsi="Arial" w:cs="Arial"/>
          <w:bCs/>
          <w:sz w:val="22"/>
          <w:szCs w:val="22"/>
          <w:lang w:val="en-US"/>
        </w:rPr>
        <w:t xml:space="preserve"> correlation between the levels of selected metabolites in serum and urine samples of T2DM patients and</w:t>
      </w:r>
      <w:r w:rsidR="0029413A" w:rsidRPr="00E918BE">
        <w:rPr>
          <w:rFonts w:ascii="Arial" w:hAnsi="Arial" w:cs="Arial"/>
          <w:bCs/>
          <w:sz w:val="22"/>
          <w:szCs w:val="22"/>
          <w:lang w:val="en-US"/>
        </w:rPr>
        <w:t xml:space="preserve"> disease-related outcomes</w:t>
      </w:r>
      <w:r w:rsidR="004F3062" w:rsidRPr="00E918BE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3446B34F" w14:textId="5805C381" w:rsidR="00141E4F" w:rsidRPr="00E918BE" w:rsidRDefault="00141E4F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  <w:lang w:val="en-US"/>
        </w:rPr>
      </w:pPr>
      <w:r w:rsidRPr="00E918BE">
        <w:rPr>
          <w:rFonts w:ascii="Arial" w:hAnsi="Arial" w:cs="Arial"/>
          <w:bCs/>
          <w:sz w:val="22"/>
          <w:szCs w:val="22"/>
          <w:u w:val="single"/>
          <w:lang w:val="en-US"/>
        </w:rPr>
        <w:t>Methods</w:t>
      </w:r>
    </w:p>
    <w:p w14:paraId="4252AC56" w14:textId="4E00E379" w:rsidR="008800B5" w:rsidRPr="00E918BE" w:rsidRDefault="00197198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A total of </w:t>
      </w:r>
      <w:r w:rsidR="00A51B3D" w:rsidRPr="00E918B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D402BE" w:rsidRPr="00E918BE">
        <w:rPr>
          <w:rFonts w:ascii="Arial" w:hAnsi="Arial" w:cs="Arial"/>
          <w:bCs/>
          <w:sz w:val="22"/>
          <w:szCs w:val="22"/>
          <w:lang w:val="en-US"/>
        </w:rPr>
        <w:t>35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patients with T2DM and </w:t>
      </w:r>
      <w:r w:rsidR="008A7AA1" w:rsidRPr="00E918BE">
        <w:rPr>
          <w:rFonts w:ascii="Arial" w:hAnsi="Arial" w:cs="Arial"/>
          <w:bCs/>
          <w:sz w:val="22"/>
          <w:szCs w:val="22"/>
          <w:lang w:val="en-US"/>
        </w:rPr>
        <w:t>25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healthy volunteers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 were</w:t>
      </w:r>
      <w:r w:rsidR="003646C9" w:rsidRPr="00E918BE">
        <w:rPr>
          <w:rFonts w:ascii="Arial" w:hAnsi="Arial" w:cs="Arial"/>
          <w:bCs/>
          <w:sz w:val="22"/>
          <w:szCs w:val="22"/>
          <w:lang w:val="en-US"/>
        </w:rPr>
        <w:t xml:space="preserve"> enrolled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.</w:t>
      </w:r>
      <w:r w:rsidR="00151DF9" w:rsidRPr="00E918B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E3981" w:rsidRPr="00E918BE">
        <w:rPr>
          <w:rFonts w:ascii="Arial" w:hAnsi="Arial" w:cs="Arial"/>
          <w:bCs/>
          <w:sz w:val="22"/>
          <w:szCs w:val="22"/>
          <w:lang w:val="en-US"/>
        </w:rPr>
        <w:t>S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erum and urine</w:t>
      </w:r>
      <w:r w:rsidR="007E3981" w:rsidRPr="00E918BE">
        <w:rPr>
          <w:rFonts w:ascii="Arial" w:hAnsi="Arial" w:cs="Arial"/>
          <w:bCs/>
          <w:sz w:val="22"/>
          <w:szCs w:val="22"/>
          <w:lang w:val="en-US"/>
        </w:rPr>
        <w:t xml:space="preserve"> levels 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of asymmetric dimethylarginine (ADMA), </w:t>
      </w:r>
      <w:r w:rsidR="003646C9" w:rsidRPr="00E918BE">
        <w:rPr>
          <w:rFonts w:ascii="Arial" w:hAnsi="Arial" w:cs="Arial"/>
          <w:bCs/>
          <w:sz w:val="22"/>
          <w:szCs w:val="22"/>
          <w:lang w:val="en-US"/>
        </w:rPr>
        <w:t>hippurate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, and m</w:t>
      </w:r>
      <w:r w:rsidR="003646C9" w:rsidRPr="00E918BE">
        <w:rPr>
          <w:rFonts w:ascii="Arial" w:hAnsi="Arial" w:cs="Arial"/>
          <w:bCs/>
          <w:sz w:val="22"/>
          <w:szCs w:val="22"/>
          <w:lang w:val="en-US"/>
        </w:rPr>
        <w:t>alate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were</w:t>
      </w:r>
      <w:r w:rsidR="004F3062" w:rsidRPr="00E918BE">
        <w:rPr>
          <w:rFonts w:ascii="Arial" w:hAnsi="Arial" w:cs="Arial"/>
          <w:bCs/>
          <w:sz w:val="22"/>
          <w:szCs w:val="22"/>
          <w:lang w:val="en-US"/>
        </w:rPr>
        <w:t xml:space="preserve"> measured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. ADMA was selected</w:t>
      </w:r>
      <w:r w:rsidR="004F3062" w:rsidRPr="00E918BE">
        <w:rPr>
          <w:rFonts w:ascii="Arial" w:hAnsi="Arial" w:cs="Arial"/>
          <w:bCs/>
          <w:sz w:val="22"/>
          <w:szCs w:val="22"/>
          <w:lang w:val="en-US"/>
        </w:rPr>
        <w:t xml:space="preserve"> due to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its</w:t>
      </w:r>
      <w:r w:rsidR="004F3062" w:rsidRPr="00E918BE">
        <w:rPr>
          <w:rFonts w:ascii="Arial" w:hAnsi="Arial" w:cs="Arial"/>
          <w:bCs/>
          <w:sz w:val="22"/>
          <w:szCs w:val="22"/>
          <w:lang w:val="en-US"/>
        </w:rPr>
        <w:t xml:space="preserve"> role 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in endothelial dysfunction. </w:t>
      </w:r>
      <w:r w:rsidR="004F3062" w:rsidRPr="00E918BE">
        <w:rPr>
          <w:rFonts w:ascii="Arial" w:hAnsi="Arial" w:cs="Arial"/>
          <w:bCs/>
          <w:sz w:val="22"/>
          <w:szCs w:val="22"/>
          <w:lang w:val="en-US"/>
        </w:rPr>
        <w:t>Hippurate is linked to gut microbiota alterations in metabolic disorders, and malate plays a central role in cellular metabolism. Metabolite concentrations were determined using liquid chromatography coupled with tandem mass spectrometry (HPLC-MS/MS)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.</w:t>
      </w:r>
      <w:r w:rsidR="00151DF9" w:rsidRPr="00E918B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E3981" w:rsidRPr="00E918BE">
        <w:rPr>
          <w:rFonts w:ascii="Arial" w:hAnsi="Arial" w:cs="Arial"/>
          <w:bCs/>
          <w:sz w:val="22"/>
          <w:szCs w:val="22"/>
          <w:lang w:val="en-US"/>
        </w:rPr>
        <w:t>Urinary concentrations were normalized to creatinine due to variations in water balance.</w:t>
      </w:r>
    </w:p>
    <w:p w14:paraId="707AD977" w14:textId="77777777" w:rsidR="00141E4F" w:rsidRPr="00E918BE" w:rsidRDefault="00141E4F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  <w:lang w:val="en-US"/>
        </w:rPr>
      </w:pPr>
      <w:r w:rsidRPr="00E918BE">
        <w:rPr>
          <w:rFonts w:ascii="Arial" w:hAnsi="Arial" w:cs="Arial"/>
          <w:bCs/>
          <w:sz w:val="22"/>
          <w:szCs w:val="22"/>
          <w:u w:val="single"/>
          <w:lang w:val="en-US"/>
        </w:rPr>
        <w:t>Results</w:t>
      </w:r>
    </w:p>
    <w:p w14:paraId="3476B6A6" w14:textId="243699F6" w:rsidR="008800B5" w:rsidRPr="00E918BE" w:rsidRDefault="007E3981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18BE">
        <w:rPr>
          <w:rFonts w:ascii="Arial" w:hAnsi="Arial" w:cs="Arial"/>
          <w:bCs/>
          <w:sz w:val="22"/>
          <w:szCs w:val="22"/>
          <w:lang w:val="en-US"/>
        </w:rPr>
        <w:t>S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erum samples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 showed 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significant</w:t>
      </w:r>
      <w:r w:rsidRPr="00E918BE">
        <w:rPr>
          <w:rFonts w:ascii="Arial" w:hAnsi="Arial" w:cs="Arial"/>
          <w:bCs/>
          <w:sz w:val="22"/>
          <w:szCs w:val="22"/>
          <w:lang w:val="en-US"/>
        </w:rPr>
        <w:t>ly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increase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d 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hippur</w:t>
      </w:r>
      <w:r w:rsidR="003646C9" w:rsidRPr="00E918BE">
        <w:rPr>
          <w:rFonts w:ascii="Arial" w:hAnsi="Arial" w:cs="Arial"/>
          <w:bCs/>
          <w:sz w:val="22"/>
          <w:szCs w:val="22"/>
          <w:lang w:val="en-US"/>
        </w:rPr>
        <w:t>ate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and mal</w:t>
      </w:r>
      <w:r w:rsidR="003646C9" w:rsidRPr="00E918BE">
        <w:rPr>
          <w:rFonts w:ascii="Arial" w:hAnsi="Arial" w:cs="Arial"/>
          <w:bCs/>
          <w:sz w:val="22"/>
          <w:szCs w:val="22"/>
          <w:lang w:val="en-US"/>
        </w:rPr>
        <w:t>ate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levels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 in T2DM </w:t>
      </w:r>
      <w:r w:rsidR="00151DF9" w:rsidRPr="00E918BE">
        <w:rPr>
          <w:rFonts w:ascii="Arial" w:hAnsi="Arial" w:cs="Arial"/>
          <w:bCs/>
          <w:sz w:val="22"/>
          <w:szCs w:val="22"/>
          <w:lang w:val="en-US"/>
        </w:rPr>
        <w:t>patients, while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urine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 samples showed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 xml:space="preserve"> decrease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d </w:t>
      </w:r>
      <w:r w:rsidR="008800B5" w:rsidRPr="00E918BE">
        <w:rPr>
          <w:rFonts w:ascii="Arial" w:hAnsi="Arial" w:cs="Arial"/>
          <w:bCs/>
          <w:sz w:val="22"/>
          <w:szCs w:val="22"/>
          <w:lang w:val="en-US"/>
        </w:rPr>
        <w:t>ADMA levels.</w:t>
      </w:r>
    </w:p>
    <w:p w14:paraId="2D141284" w14:textId="61451DCA" w:rsidR="00151DF9" w:rsidRPr="00E918BE" w:rsidRDefault="00151DF9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18BE">
        <w:rPr>
          <w:rFonts w:ascii="Arial" w:hAnsi="Arial" w:cs="Arial"/>
          <w:bCs/>
          <w:sz w:val="22"/>
          <w:szCs w:val="22"/>
          <w:lang w:val="en-US"/>
        </w:rPr>
        <w:t>Correlation analysis revealed a strong, nonlinear positive association between serum malate and hippurate with HbA1c (r = 0.352, p = 0.009; r = 0.609, p &lt; 0.001), and a strong, nonlinear negative association for urinary ADMA (r = -0.744, p &lt; 0.001).</w:t>
      </w:r>
    </w:p>
    <w:p w14:paraId="435D1D59" w14:textId="0F6C2EF9" w:rsidR="00141E4F" w:rsidRPr="00E918BE" w:rsidRDefault="00141E4F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  <w:lang w:val="en-US"/>
        </w:rPr>
      </w:pPr>
      <w:r w:rsidRPr="00E918BE">
        <w:rPr>
          <w:rFonts w:ascii="Arial" w:hAnsi="Arial" w:cs="Arial"/>
          <w:bCs/>
          <w:sz w:val="22"/>
          <w:szCs w:val="22"/>
          <w:u w:val="single"/>
          <w:lang w:val="en-US"/>
        </w:rPr>
        <w:t>Conclusion</w:t>
      </w:r>
    </w:p>
    <w:p w14:paraId="494D7360" w14:textId="62DFFD29" w:rsidR="004D6766" w:rsidRPr="00E918BE" w:rsidRDefault="00B337C1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18BE">
        <w:rPr>
          <w:rFonts w:ascii="Arial" w:hAnsi="Arial" w:cs="Arial"/>
          <w:bCs/>
          <w:sz w:val="22"/>
          <w:szCs w:val="22"/>
          <w:lang w:val="en-US"/>
        </w:rPr>
        <w:t>These findings suggest T2DM significantly alters the metabolomic profile of affected individuals. The observed associations support the potential utility of specific metabolites as biomarkers for disease monitoring</w:t>
      </w:r>
      <w:r w:rsidR="00A51B3D" w:rsidRPr="00E918BE">
        <w:rPr>
          <w:rFonts w:ascii="Arial" w:hAnsi="Arial" w:cs="Arial"/>
          <w:bCs/>
          <w:sz w:val="22"/>
          <w:szCs w:val="22"/>
          <w:lang w:val="en-US"/>
        </w:rPr>
        <w:t>.</w:t>
      </w:r>
      <w:r w:rsidR="00A51B3D" w:rsidRPr="00E918BE">
        <w:rPr>
          <w:rFonts w:ascii="Arial" w:hAnsi="Arial" w:cs="Arial"/>
          <w:sz w:val="22"/>
          <w:szCs w:val="22"/>
          <w:lang w:val="en-US"/>
        </w:rPr>
        <w:t xml:space="preserve"> </w:t>
      </w:r>
      <w:r w:rsidR="00A51B3D" w:rsidRPr="00E918BE">
        <w:rPr>
          <w:rFonts w:ascii="Arial" w:hAnsi="Arial" w:cs="Arial"/>
          <w:bCs/>
          <w:sz w:val="22"/>
          <w:szCs w:val="22"/>
          <w:lang w:val="en-US"/>
        </w:rPr>
        <w:t>Expanded cohort investigation and broader metabolite panel will aid in identifying biomarkers for disease diagnosis and prognosis.</w:t>
      </w:r>
    </w:p>
    <w:p w14:paraId="5A62CB56" w14:textId="77777777" w:rsidR="00A04169" w:rsidRPr="00E918BE" w:rsidRDefault="00A04169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92213EE" w14:textId="2F63C1E9" w:rsidR="00A04169" w:rsidRPr="00E918BE" w:rsidRDefault="00A04169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18BE">
        <w:rPr>
          <w:rFonts w:ascii="Arial" w:hAnsi="Arial" w:cs="Arial"/>
          <w:b/>
          <w:sz w:val="22"/>
          <w:szCs w:val="22"/>
          <w:lang w:val="en-US"/>
        </w:rPr>
        <w:t>Keywords:</w:t>
      </w:r>
      <w:r w:rsidRPr="00E918BE">
        <w:rPr>
          <w:rFonts w:ascii="Arial" w:hAnsi="Arial" w:cs="Arial"/>
          <w:bCs/>
          <w:sz w:val="22"/>
          <w:szCs w:val="22"/>
          <w:lang w:val="en-US"/>
        </w:rPr>
        <w:t xml:space="preserve"> T2DM, metabolomics analysis, ADMA, Hippurate, Malate.</w:t>
      </w:r>
    </w:p>
    <w:p w14:paraId="10562A8F" w14:textId="77777777" w:rsidR="00A04169" w:rsidRPr="00E918BE" w:rsidRDefault="00A04169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60041B8C" w14:textId="77777777" w:rsidR="00A04169" w:rsidRPr="00E918BE" w:rsidRDefault="00A04169" w:rsidP="004D676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178B9F63" w14:textId="3267E554" w:rsidR="004D6766" w:rsidRPr="00E918BE" w:rsidRDefault="00A04169" w:rsidP="004D6766">
      <w:pPr>
        <w:spacing w:after="0" w:line="240" w:lineRule="auto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Bibliography</w:t>
      </w:r>
    </w:p>
    <w:p w14:paraId="64D99A21" w14:textId="6EE91F17" w:rsidR="00253364" w:rsidRPr="00E918BE" w:rsidRDefault="00C56A47" w:rsidP="00A041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Morze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J., </w:t>
      </w: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Wittenbecher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C., </w:t>
      </w: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Schwngshackl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L., Danielewicz A., Rynkiewicz A., Hu F.B., and Guasch-Ferre M. Metabolomics and Type 2 Diabetes Risk: An updated systematic review and meta-analysis of prospective cohort studies</w:t>
      </w:r>
    </w:p>
    <w:p w14:paraId="3111166D" w14:textId="4DBE7331" w:rsidR="00C56A47" w:rsidRPr="00E918BE" w:rsidRDefault="00A04169" w:rsidP="00A041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Wieczor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R., </w:t>
      </w: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Wieczor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A.M., </w:t>
      </w: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Kulwas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A., and </w:t>
      </w: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Rosc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D. ADMA (asymmetric dimethylarginine) and angiogenic potential in patients with type 2 diabetes and prediabetes</w:t>
      </w:r>
    </w:p>
    <w:p w14:paraId="52D9559B" w14:textId="77777777" w:rsidR="00C56A47" w:rsidRPr="00E918BE" w:rsidRDefault="00C56A47" w:rsidP="004D6766">
      <w:pPr>
        <w:spacing w:after="0" w:line="240" w:lineRule="auto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</w:p>
    <w:p w14:paraId="05BCEB66" w14:textId="1B1F85F9" w:rsidR="004D6766" w:rsidRPr="00E918BE" w:rsidRDefault="004D6766" w:rsidP="004D6766">
      <w:pPr>
        <w:spacing w:after="0" w:line="240" w:lineRule="auto"/>
        <w:jc w:val="both"/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The authors would like to express their appreciation to prof. I. </w:t>
      </w:r>
      <w:proofErr w:type="spellStart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Kapolos</w:t>
      </w:r>
      <w:proofErr w:type="spellEnd"/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</w:t>
      </w:r>
      <w:r w:rsidR="00253364"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of Food</w:t>
      </w:r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</w:t>
      </w:r>
      <w:r w:rsidR="00253364"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>Science and Technology department of the University of the Peloponnese</w:t>
      </w:r>
      <w:r w:rsidRPr="00E918BE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for providing access to HPLC-MS/MS instrument.</w:t>
      </w:r>
    </w:p>
    <w:sectPr w:rsidR="004D6766" w:rsidRPr="00E9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5D0"/>
    <w:multiLevelType w:val="hybridMultilevel"/>
    <w:tmpl w:val="01963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8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B1"/>
    <w:rsid w:val="000A413D"/>
    <w:rsid w:val="000B0C5D"/>
    <w:rsid w:val="00141E4F"/>
    <w:rsid w:val="00142EE2"/>
    <w:rsid w:val="00151DF9"/>
    <w:rsid w:val="001658D4"/>
    <w:rsid w:val="00197198"/>
    <w:rsid w:val="001F41F1"/>
    <w:rsid w:val="002337A8"/>
    <w:rsid w:val="00253364"/>
    <w:rsid w:val="0029413A"/>
    <w:rsid w:val="00326C98"/>
    <w:rsid w:val="00336673"/>
    <w:rsid w:val="00345594"/>
    <w:rsid w:val="003646C9"/>
    <w:rsid w:val="003A005D"/>
    <w:rsid w:val="003E529B"/>
    <w:rsid w:val="004849FD"/>
    <w:rsid w:val="004A4F15"/>
    <w:rsid w:val="004D6766"/>
    <w:rsid w:val="004F3062"/>
    <w:rsid w:val="00671EED"/>
    <w:rsid w:val="0067736E"/>
    <w:rsid w:val="006B79C7"/>
    <w:rsid w:val="00722E84"/>
    <w:rsid w:val="00723E82"/>
    <w:rsid w:val="0072639D"/>
    <w:rsid w:val="007A02D6"/>
    <w:rsid w:val="007E3981"/>
    <w:rsid w:val="00811511"/>
    <w:rsid w:val="008800B5"/>
    <w:rsid w:val="008A7AA1"/>
    <w:rsid w:val="0095451F"/>
    <w:rsid w:val="009B4284"/>
    <w:rsid w:val="00A04169"/>
    <w:rsid w:val="00A04E8D"/>
    <w:rsid w:val="00A51B3D"/>
    <w:rsid w:val="00AA34BE"/>
    <w:rsid w:val="00B337C1"/>
    <w:rsid w:val="00B377BA"/>
    <w:rsid w:val="00BB0E2E"/>
    <w:rsid w:val="00BD51DD"/>
    <w:rsid w:val="00C06F01"/>
    <w:rsid w:val="00C56A47"/>
    <w:rsid w:val="00C86BF9"/>
    <w:rsid w:val="00CC58A0"/>
    <w:rsid w:val="00D240ED"/>
    <w:rsid w:val="00D25DB1"/>
    <w:rsid w:val="00D402BE"/>
    <w:rsid w:val="00DA1600"/>
    <w:rsid w:val="00DA79C7"/>
    <w:rsid w:val="00DF2824"/>
    <w:rsid w:val="00E4025C"/>
    <w:rsid w:val="00E918BE"/>
    <w:rsid w:val="00EB08D5"/>
    <w:rsid w:val="00EE2C14"/>
    <w:rsid w:val="00F34FA6"/>
    <w:rsid w:val="00F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8698"/>
  <w15:chartTrackingRefBased/>
  <w15:docId w15:val="{204C4558-E018-4F4D-9602-E4224E0F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DB1"/>
    <w:rPr>
      <w:sz w:val="24"/>
      <w:szCs w:val="24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D25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25D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styleId="-">
    <w:name w:val="Hyperlink"/>
    <w:basedOn w:val="a0"/>
    <w:uiPriority w:val="99"/>
    <w:unhideWhenUsed/>
    <w:rsid w:val="004D676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D676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0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mvakas@go.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ΣΩΤΗΡΙΟΣ - ΣΠΥΡΙΔΩΝ ΒΑΜΒΑΚΑΣ</dc:creator>
  <cp:keywords/>
  <dc:description/>
  <cp:lastModifiedBy>Anastasia Perrea</cp:lastModifiedBy>
  <cp:revision>2</cp:revision>
  <dcterms:created xsi:type="dcterms:W3CDTF">2025-05-20T13:53:00Z</dcterms:created>
  <dcterms:modified xsi:type="dcterms:W3CDTF">2025-05-20T13:53:00Z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id="guit0r6N"/&gt;&lt;style id="" hasBibliography="0" bibliographyStyleHasBeenSet="0"/&gt;&lt;prefs/&gt;&lt;/data&gt;</vt:lpwstr>
  </property>
</Properties>
</file>