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60AF" w14:textId="528E9989" w:rsidR="005367FB" w:rsidRDefault="005367FB" w:rsidP="005367FB">
      <w:pPr>
        <w:jc w:val="center"/>
        <w:rPr>
          <w:b/>
          <w:lang/>
        </w:rPr>
      </w:pPr>
      <w:bookmarkStart w:id="0" w:name="_Hlk169782248"/>
    </w:p>
    <w:p w14:paraId="298FFC1D" w14:textId="77777777" w:rsidR="005367FB" w:rsidRPr="005367FB" w:rsidRDefault="005367FB" w:rsidP="005367FB">
      <w:pPr>
        <w:jc w:val="center"/>
        <w:rPr>
          <w:b/>
          <w:lang/>
        </w:rPr>
      </w:pPr>
    </w:p>
    <w:bookmarkEnd w:id="0"/>
    <w:p w14:paraId="3B76FA15" w14:textId="77777777" w:rsidR="005367FB" w:rsidRPr="00E376DD" w:rsidRDefault="005367FB" w:rsidP="005367FB">
      <w:pPr>
        <w:rPr>
          <w:b/>
        </w:rPr>
      </w:pPr>
    </w:p>
    <w:p w14:paraId="5E64CFAB" w14:textId="5DA3089F" w:rsidR="005367FB" w:rsidRDefault="005367FB" w:rsidP="005367FB">
      <w:pPr>
        <w:jc w:val="both"/>
        <w:rPr>
          <w:lang/>
        </w:rPr>
      </w:pPr>
      <w:r>
        <w:rPr>
          <w:lang/>
        </w:rPr>
        <w:t>ΚΡΙΤΙΚΗ ΑΝΑΛΥΣΗ ΠΑΡΑΣΤΑΣΕΩΝ</w:t>
      </w:r>
    </w:p>
    <w:p w14:paraId="7348B62B" w14:textId="26830004" w:rsidR="005367FB" w:rsidRDefault="005367FB" w:rsidP="005367FB">
      <w:pPr>
        <w:jc w:val="both"/>
        <w:rPr>
          <w:lang/>
        </w:rPr>
      </w:pPr>
      <w:r>
        <w:rPr>
          <w:lang/>
        </w:rPr>
        <w:t>Διδάσκουσα Μαρίνα Κοτζαμάνη</w:t>
      </w:r>
    </w:p>
    <w:p w14:paraId="5CAF320E" w14:textId="77777777" w:rsidR="005367FB" w:rsidRDefault="005367FB" w:rsidP="005367FB">
      <w:pPr>
        <w:jc w:val="both"/>
        <w:rPr>
          <w:lang/>
        </w:rPr>
      </w:pPr>
    </w:p>
    <w:p w14:paraId="7DF98F6C" w14:textId="1CCE1BFE" w:rsidR="005367FB" w:rsidRPr="005367FB" w:rsidRDefault="005367FB" w:rsidP="005367FB">
      <w:pPr>
        <w:jc w:val="both"/>
        <w:rPr>
          <w:lang/>
        </w:rPr>
      </w:pPr>
      <w:r>
        <w:rPr>
          <w:lang/>
        </w:rPr>
        <w:t>Εξεταστική Φεβρουαρίου 2025</w:t>
      </w:r>
    </w:p>
    <w:p w14:paraId="5C7FBD5E" w14:textId="77777777" w:rsidR="005367FB" w:rsidRDefault="005367FB" w:rsidP="005367FB"/>
    <w:p w14:paraId="688B8E13" w14:textId="77777777" w:rsidR="005367FB" w:rsidRPr="00E376DD" w:rsidRDefault="005367FB" w:rsidP="005367FB"/>
    <w:p w14:paraId="74309F4F" w14:textId="3C703074" w:rsidR="007D475A" w:rsidRDefault="005367FB" w:rsidP="007D475A">
      <w:pPr>
        <w:rPr>
          <w:lang/>
        </w:rPr>
      </w:pPr>
      <w:r w:rsidRPr="00E376DD">
        <w:t xml:space="preserve">Στο μάθημα αυτό </w:t>
      </w:r>
      <w:proofErr w:type="spellStart"/>
      <w:r w:rsidRPr="00E376DD">
        <w:t>απαιτ</w:t>
      </w:r>
      <w:proofErr w:type="spellEnd"/>
      <w:r w:rsidR="007D475A">
        <w:rPr>
          <w:lang/>
        </w:rPr>
        <w:t>ούνται</w:t>
      </w:r>
      <w:r w:rsidR="007D475A" w:rsidRPr="00874A80">
        <w:t>:</w:t>
      </w:r>
      <w:r w:rsidRPr="00E376DD">
        <w:t xml:space="preserve"> </w:t>
      </w:r>
    </w:p>
    <w:p w14:paraId="14C6D1C9" w14:textId="4387F886" w:rsidR="007D475A" w:rsidRPr="00874A80" w:rsidRDefault="00874A80" w:rsidP="00874A80">
      <w:pPr>
        <w:pStyle w:val="ListParagraph"/>
        <w:numPr>
          <w:ilvl w:val="0"/>
          <w:numId w:val="5"/>
        </w:numPr>
      </w:pPr>
      <w:r>
        <w:t xml:space="preserve"> </w:t>
      </w:r>
      <w:r w:rsidR="007D475A" w:rsidRPr="00874A80">
        <w:rPr>
          <w:lang w:val="en-US"/>
        </w:rPr>
        <w:t>M</w:t>
      </w:r>
      <w:r w:rsidR="005367FB" w:rsidRPr="00874A80">
        <w:rPr>
          <w:lang/>
        </w:rPr>
        <w:t>ία εργασία</w:t>
      </w:r>
      <w:r w:rsidR="005367FB" w:rsidRPr="00E376DD">
        <w:t>, έκτασης 1</w:t>
      </w:r>
      <w:r w:rsidR="005367FB">
        <w:t>5</w:t>
      </w:r>
      <w:r w:rsidR="005367FB" w:rsidRPr="00E376DD">
        <w:t>00-</w:t>
      </w:r>
      <w:r w:rsidR="005367FB" w:rsidRPr="00874A80">
        <w:rPr>
          <w:lang/>
        </w:rPr>
        <w:t>20</w:t>
      </w:r>
      <w:r w:rsidR="005367FB">
        <w:t>00</w:t>
      </w:r>
      <w:r w:rsidR="005367FB" w:rsidRPr="00E376DD">
        <w:t xml:space="preserve"> λέξεις, </w:t>
      </w:r>
      <w:r w:rsidR="005367FB" w:rsidRPr="00874A80">
        <w:rPr>
          <w:lang/>
        </w:rPr>
        <w:t>η</w:t>
      </w:r>
      <w:r w:rsidR="005367FB" w:rsidRPr="00E376DD">
        <w:t xml:space="preserve"> οποί</w:t>
      </w:r>
      <w:r w:rsidR="005367FB" w:rsidRPr="00874A80">
        <w:rPr>
          <w:lang/>
        </w:rPr>
        <w:t>α</w:t>
      </w:r>
      <w:r w:rsidR="005367FB" w:rsidRPr="00E376DD">
        <w:t xml:space="preserve"> πρέπει να είναι </w:t>
      </w:r>
      <w:proofErr w:type="spellStart"/>
      <w:r w:rsidR="005367FB" w:rsidRPr="00E376DD">
        <w:t>δακτυλογραφημέν</w:t>
      </w:r>
      <w:proofErr w:type="spellEnd"/>
      <w:r w:rsidR="005367FB" w:rsidRPr="00874A80">
        <w:rPr>
          <w:lang/>
        </w:rPr>
        <w:t>η</w:t>
      </w:r>
      <w:r w:rsidR="005367FB" w:rsidRPr="00E376DD">
        <w:t xml:space="preserve"> σε διπλό διάστημα.</w:t>
      </w:r>
      <w:r w:rsidR="005367FB" w:rsidRPr="00874A80">
        <w:rPr>
          <w:lang/>
        </w:rPr>
        <w:t xml:space="preserve">  Επιλέγετε ένα από τα δύο θέματα που παρατίθενται πιο κάτω.</w:t>
      </w:r>
      <w:r w:rsidR="005367FB" w:rsidRPr="00E376DD">
        <w:t xml:space="preserve">  </w:t>
      </w:r>
      <w:proofErr w:type="spellStart"/>
      <w:r w:rsidR="007D475A" w:rsidRPr="00E376DD">
        <w:t>Στ</w:t>
      </w:r>
      <w:proofErr w:type="spellEnd"/>
      <w:r w:rsidR="007D475A" w:rsidRPr="00874A80">
        <w:rPr>
          <w:lang/>
        </w:rPr>
        <w:t>ην</w:t>
      </w:r>
      <w:r w:rsidR="007D475A" w:rsidRPr="00E376DD">
        <w:t xml:space="preserve"> </w:t>
      </w:r>
      <w:proofErr w:type="spellStart"/>
      <w:r w:rsidR="007D475A" w:rsidRPr="00E376DD">
        <w:t>εργασί</w:t>
      </w:r>
      <w:proofErr w:type="spellEnd"/>
      <w:r w:rsidR="007D475A" w:rsidRPr="00874A80">
        <w:rPr>
          <w:lang/>
        </w:rPr>
        <w:t>α</w:t>
      </w:r>
      <w:r w:rsidR="007D475A" w:rsidRPr="00E376DD">
        <w:t xml:space="preserve"> αναφέρετε τις πηγές σας σε υποσημειώσεις και συμπεριλαμβάνετε βιβλιογραφία.  </w:t>
      </w:r>
      <w:r>
        <w:t xml:space="preserve">Οι αναφορές αυτές δεν </w:t>
      </w:r>
      <w:proofErr w:type="spellStart"/>
      <w:r>
        <w:t>προσμετρώνται</w:t>
      </w:r>
      <w:proofErr w:type="spellEnd"/>
      <w:r>
        <w:t xml:space="preserve"> στο όριο λέξεων που έχει τεθεί.</w:t>
      </w:r>
      <w:r>
        <w:t xml:space="preserve">  </w:t>
      </w:r>
      <w:r w:rsidR="007D475A" w:rsidRPr="00E376DD">
        <w:t>Με ενδιαφέρει κυρίως να διαπιστώσω εάν οι εξεταζόμενες/οι είναι σε θέση να συζητήσουν τις παραστάσεις με κριτική διάθεση.  Εκτιμώ ιδιαίτερα την πρωτοτυπία στην σκέψη και την ικανότητα να κάνουν οι φοιτήτριες/</w:t>
      </w:r>
      <w:proofErr w:type="spellStart"/>
      <w:r w:rsidR="007D475A" w:rsidRPr="00E376DD">
        <w:t>ες</w:t>
      </w:r>
      <w:proofErr w:type="spellEnd"/>
      <w:r w:rsidR="007D475A" w:rsidRPr="00E376DD">
        <w:t xml:space="preserve"> γόνιμες συγκρίσεις ανάμεσα σε παραστάσεις.</w:t>
      </w:r>
      <w:r w:rsidR="007D475A" w:rsidRPr="00874A80">
        <w:rPr>
          <w:lang/>
        </w:rPr>
        <w:t xml:space="preserve">  </w:t>
      </w:r>
      <w:r w:rsidR="007D475A" w:rsidRPr="00E376DD">
        <w:t>Εργασίες με αντιγραφές θα μηδενίζονται και η αντιγραφή θα έχει ως συνέπεια το να αποτυγχάνει ο/η φοιτητής/</w:t>
      </w:r>
      <w:proofErr w:type="spellStart"/>
      <w:r w:rsidR="007D475A" w:rsidRPr="00E376DD">
        <w:t>τρια</w:t>
      </w:r>
      <w:proofErr w:type="spellEnd"/>
      <w:r w:rsidR="007D475A" w:rsidRPr="00E376DD">
        <w:t xml:space="preserve"> να περάσει το μάθημα συνολικά.</w:t>
      </w:r>
    </w:p>
    <w:p w14:paraId="48AE6F64" w14:textId="1D7AA584" w:rsidR="007D475A" w:rsidRPr="007D475A" w:rsidRDefault="007D475A" w:rsidP="007D475A">
      <w:pPr>
        <w:pStyle w:val="ListParagraph"/>
        <w:numPr>
          <w:ilvl w:val="0"/>
          <w:numId w:val="5"/>
        </w:numPr>
      </w:pPr>
      <w:r w:rsidRPr="007D475A">
        <w:t xml:space="preserve"> </w:t>
      </w:r>
      <w:r>
        <w:rPr>
          <w:lang/>
        </w:rPr>
        <w:t>Προφορική εξέταση σε ύλη που παρατίθεται πιο κάτω.  Σημαντική επισήμανση</w:t>
      </w:r>
      <w:r w:rsidRPr="007D475A">
        <w:t xml:space="preserve">: </w:t>
      </w:r>
      <w:r>
        <w:rPr>
          <w:lang/>
        </w:rPr>
        <w:t>Θα πρέπει ο φοιτητής/τρια να λάβει βαθμό 5 και άνω στην προφορική εξέταση προκειμένου να ληφθεί υπ’όψιν η γραπτή εργασία.</w:t>
      </w:r>
    </w:p>
    <w:p w14:paraId="176A858E" w14:textId="77777777" w:rsidR="007D475A" w:rsidRDefault="007D475A" w:rsidP="007D475A">
      <w:pPr>
        <w:rPr>
          <w:lang/>
        </w:rPr>
      </w:pPr>
    </w:p>
    <w:p w14:paraId="6B5CB1EE" w14:textId="5CC3B9BC" w:rsidR="007D475A" w:rsidRDefault="007D475A" w:rsidP="007D475A">
      <w:pPr>
        <w:rPr>
          <w:lang w:val="en-US"/>
        </w:rPr>
      </w:pPr>
      <w:r>
        <w:rPr>
          <w:lang/>
        </w:rPr>
        <w:t>Η ποσόστωση της βαθμολογίας έχει ως εξής</w:t>
      </w:r>
      <w:r w:rsidRPr="007D475A">
        <w:t>:</w:t>
      </w:r>
    </w:p>
    <w:p w14:paraId="656D3D0E" w14:textId="7A7EE0D8" w:rsidR="007D475A" w:rsidRDefault="007D475A" w:rsidP="007D475A">
      <w:pPr>
        <w:rPr>
          <w:lang/>
        </w:rPr>
      </w:pPr>
      <w:r>
        <w:rPr>
          <w:lang/>
        </w:rPr>
        <w:t>Γραπτή εργασία</w:t>
      </w:r>
      <w:r>
        <w:rPr>
          <w:lang w:val="en-US"/>
        </w:rPr>
        <w:t xml:space="preserve">: 60% </w:t>
      </w:r>
      <w:r>
        <w:rPr>
          <w:lang/>
        </w:rPr>
        <w:t>της βαθμολογίας</w:t>
      </w:r>
    </w:p>
    <w:p w14:paraId="2F939E3C" w14:textId="624D82FF" w:rsidR="007D475A" w:rsidRPr="007D475A" w:rsidRDefault="007D475A" w:rsidP="007D475A">
      <w:pPr>
        <w:rPr>
          <w:lang/>
        </w:rPr>
      </w:pPr>
      <w:r>
        <w:rPr>
          <w:lang/>
        </w:rPr>
        <w:t>Προφορική εξέταση</w:t>
      </w:r>
      <w:r w:rsidRPr="00874A80">
        <w:t xml:space="preserve">: 40% </w:t>
      </w:r>
      <w:r>
        <w:rPr>
          <w:lang/>
        </w:rPr>
        <w:t>της βαθμολογίας</w:t>
      </w:r>
    </w:p>
    <w:p w14:paraId="3D7AC3B6" w14:textId="77777777" w:rsidR="007D475A" w:rsidRPr="007D475A" w:rsidRDefault="007D475A" w:rsidP="007D475A">
      <w:pPr>
        <w:rPr>
          <w:lang/>
        </w:rPr>
      </w:pPr>
    </w:p>
    <w:p w14:paraId="1331A1D3" w14:textId="66D7C53F" w:rsidR="005367FB" w:rsidRDefault="005367FB" w:rsidP="005367FB">
      <w:pPr>
        <w:rPr>
          <w:lang/>
        </w:rPr>
      </w:pPr>
    </w:p>
    <w:p w14:paraId="0251F806" w14:textId="01461F9A" w:rsidR="005367FB" w:rsidRPr="00874A80" w:rsidRDefault="00874A80" w:rsidP="005367FB">
      <w:pPr>
        <w:rPr>
          <w:b/>
          <w:bCs/>
        </w:rPr>
      </w:pPr>
      <w:r w:rsidRPr="00874A80">
        <w:rPr>
          <w:b/>
          <w:bCs/>
        </w:rPr>
        <w:t>Θέματα εργασίας</w:t>
      </w:r>
    </w:p>
    <w:p w14:paraId="1DA4A72B" w14:textId="77777777" w:rsidR="005367FB" w:rsidRDefault="005367FB" w:rsidP="005367FB">
      <w:r w:rsidRPr="008F2801">
        <w:t xml:space="preserve">Επιλέξτε </w:t>
      </w:r>
      <w:r w:rsidRPr="008F2801">
        <w:rPr>
          <w:b/>
        </w:rPr>
        <w:t>ένα</w:t>
      </w:r>
      <w:r w:rsidRPr="008F2801">
        <w:t xml:space="preserve"> από τα παρακάτω θέματα:</w:t>
      </w:r>
    </w:p>
    <w:p w14:paraId="50ADDDCF" w14:textId="77777777" w:rsidR="005367FB" w:rsidRDefault="005367FB" w:rsidP="005367FB"/>
    <w:p w14:paraId="39234017" w14:textId="77777777" w:rsidR="005367FB" w:rsidRPr="00874A80" w:rsidRDefault="005367FB" w:rsidP="005367FB">
      <w:pPr>
        <w:rPr>
          <w:b/>
          <w:bCs/>
        </w:rPr>
      </w:pPr>
      <w:r w:rsidRPr="00874A80">
        <w:rPr>
          <w:b/>
          <w:bCs/>
        </w:rPr>
        <w:t>Θέμα Α</w:t>
      </w:r>
    </w:p>
    <w:p w14:paraId="185E8FCB" w14:textId="77777777" w:rsidR="005367FB" w:rsidRPr="001B7FCB" w:rsidRDefault="005367FB" w:rsidP="005367FB">
      <w:r>
        <w:t xml:space="preserve">Να συγκρίνεις την παράσταση </w:t>
      </w:r>
      <w:r w:rsidRPr="001B7FCB">
        <w:rPr>
          <w:i/>
        </w:rPr>
        <w:t xml:space="preserve">Οι μύθοι του </w:t>
      </w:r>
      <w:proofErr w:type="spellStart"/>
      <w:r w:rsidRPr="001B7FCB">
        <w:rPr>
          <w:i/>
        </w:rPr>
        <w:t>Λαφονταίν</w:t>
      </w:r>
      <w:proofErr w:type="spellEnd"/>
      <w:r>
        <w:t xml:space="preserve"> του Ρ. Ουίλσον με δύο ακόμα παραστάσεις του.  Συστήνεται να εστιάσετε, μεταξύ άλλων στην ανάλυση επιλεγμένων σκηνών όπου αναλύετε την προσέγγιση του έργου του σκηνοθέτη ως </w:t>
      </w:r>
      <w:proofErr w:type="spellStart"/>
      <w:r>
        <w:t>μεταδραματικό</w:t>
      </w:r>
      <w:proofErr w:type="spellEnd"/>
      <w:r>
        <w:t xml:space="preserve"> θέατρο (</w:t>
      </w:r>
      <w:proofErr w:type="spellStart"/>
      <w:r>
        <w:t>Hans</w:t>
      </w:r>
      <w:proofErr w:type="spellEnd"/>
      <w:r w:rsidRPr="001B7FCB">
        <w:t xml:space="preserve"> </w:t>
      </w:r>
      <w:proofErr w:type="spellStart"/>
      <w:r>
        <w:t>Thies</w:t>
      </w:r>
      <w:proofErr w:type="spellEnd"/>
      <w:r w:rsidRPr="001B7FCB">
        <w:t xml:space="preserve"> </w:t>
      </w:r>
      <w:proofErr w:type="spellStart"/>
      <w:r>
        <w:t>Lehmann</w:t>
      </w:r>
      <w:proofErr w:type="spellEnd"/>
      <w:r w:rsidRPr="001B7FCB">
        <w:t>)</w:t>
      </w:r>
      <w:r>
        <w:t xml:space="preserve"> και ως </w:t>
      </w:r>
      <w:proofErr w:type="spellStart"/>
      <w:r>
        <w:t>θεάτρο</w:t>
      </w:r>
      <w:proofErr w:type="spellEnd"/>
      <w:r>
        <w:t xml:space="preserve"> εικόνων</w:t>
      </w:r>
      <w:r w:rsidRPr="001B7FCB">
        <w:t xml:space="preserve"> (</w:t>
      </w:r>
      <w:proofErr w:type="spellStart"/>
      <w:r>
        <w:t>Bonnie</w:t>
      </w:r>
      <w:proofErr w:type="spellEnd"/>
      <w:r w:rsidRPr="001B7FCB">
        <w:t xml:space="preserve"> </w:t>
      </w:r>
      <w:proofErr w:type="spellStart"/>
      <w:r>
        <w:t>Marranca</w:t>
      </w:r>
      <w:proofErr w:type="spellEnd"/>
      <w:r w:rsidRPr="001B7FCB">
        <w:t xml:space="preserve">), </w:t>
      </w:r>
      <w:r>
        <w:t>σύμφωνα με τα αποσπάσματα θεωρητικών που έχουν αναρτηθεί στο e</w:t>
      </w:r>
      <w:r w:rsidRPr="001B7FCB">
        <w:t>-</w:t>
      </w:r>
      <w:proofErr w:type="spellStart"/>
      <w:r>
        <w:t>class</w:t>
      </w:r>
      <w:proofErr w:type="spellEnd"/>
      <w:r w:rsidRPr="001B7FCB">
        <w:t>.</w:t>
      </w:r>
    </w:p>
    <w:p w14:paraId="7EBF25A0" w14:textId="77777777" w:rsidR="005367FB" w:rsidRPr="008F2801" w:rsidRDefault="005367FB" w:rsidP="005367FB"/>
    <w:p w14:paraId="061364E3" w14:textId="77777777" w:rsidR="005367FB" w:rsidRPr="008F2801" w:rsidRDefault="005367FB" w:rsidP="005367FB"/>
    <w:p w14:paraId="31121263" w14:textId="77777777" w:rsidR="005367FB" w:rsidRPr="008F2801" w:rsidRDefault="005367FB" w:rsidP="005367FB">
      <w:pPr>
        <w:rPr>
          <w:b/>
        </w:rPr>
      </w:pPr>
      <w:r w:rsidRPr="008F2801">
        <w:rPr>
          <w:b/>
        </w:rPr>
        <w:t>Θέμα Β</w:t>
      </w:r>
    </w:p>
    <w:p w14:paraId="1D58231A" w14:textId="77777777" w:rsidR="005367FB" w:rsidRDefault="005367FB" w:rsidP="005367FB">
      <w:r w:rsidRPr="008F2801">
        <w:t>Με αφετηρία τα έργα “Προσέ</w:t>
      </w:r>
      <w:r>
        <w:t>χε</w:t>
      </w:r>
      <w:r w:rsidRPr="008F2801">
        <w:t xml:space="preserve">τε τον εαυτό σας” της </w:t>
      </w:r>
      <w:proofErr w:type="spellStart"/>
      <w:r w:rsidRPr="008F2801">
        <w:t>Σόφι</w:t>
      </w:r>
      <w:proofErr w:type="spellEnd"/>
      <w:r w:rsidRPr="008F2801">
        <w:t xml:space="preserve"> </w:t>
      </w:r>
      <w:proofErr w:type="spellStart"/>
      <w:r w:rsidRPr="008F2801">
        <w:t>Κάλ</w:t>
      </w:r>
      <w:proofErr w:type="spellEnd"/>
      <w:r w:rsidRPr="008F2801">
        <w:t xml:space="preserve"> (</w:t>
      </w:r>
      <w:proofErr w:type="spellStart"/>
      <w:r w:rsidRPr="008F2801">
        <w:t>Sophie</w:t>
      </w:r>
      <w:proofErr w:type="spellEnd"/>
      <w:r w:rsidRPr="008F2801">
        <w:t xml:space="preserve"> </w:t>
      </w:r>
      <w:proofErr w:type="spellStart"/>
      <w:r w:rsidRPr="008F2801">
        <w:t>Calle</w:t>
      </w:r>
      <w:proofErr w:type="spellEnd"/>
      <w:r w:rsidRPr="008F2801">
        <w:t xml:space="preserve">) και το “Από πού καταγόμαστε” της </w:t>
      </w:r>
      <w:proofErr w:type="spellStart"/>
      <w:r w:rsidRPr="008F2801">
        <w:t>Έμιλυ</w:t>
      </w:r>
      <w:proofErr w:type="spellEnd"/>
      <w:r w:rsidRPr="008F2801">
        <w:t xml:space="preserve"> </w:t>
      </w:r>
      <w:proofErr w:type="spellStart"/>
      <w:r w:rsidRPr="008F2801">
        <w:t>Ζασίρ</w:t>
      </w:r>
      <w:proofErr w:type="spellEnd"/>
      <w:r w:rsidRPr="008F2801">
        <w:t xml:space="preserve"> (</w:t>
      </w:r>
      <w:proofErr w:type="spellStart"/>
      <w:r w:rsidRPr="008F2801">
        <w:t>Emily</w:t>
      </w:r>
      <w:proofErr w:type="spellEnd"/>
      <w:r w:rsidRPr="008F2801">
        <w:t xml:space="preserve"> </w:t>
      </w:r>
      <w:proofErr w:type="spellStart"/>
      <w:r w:rsidRPr="008F2801">
        <w:t>Zacir</w:t>
      </w:r>
      <w:proofErr w:type="spellEnd"/>
      <w:r w:rsidRPr="008F2801">
        <w:t xml:space="preserve">) αναλύστε </w:t>
      </w:r>
      <w:r w:rsidRPr="008F2801">
        <w:rPr>
          <w:b/>
        </w:rPr>
        <w:t>συγκριτικά</w:t>
      </w:r>
      <w:r w:rsidRPr="008F2801">
        <w:t xml:space="preserve"> ακόμα τρία έργα τα οποία ενεργοποιούν ή δημιουργούνται με τη συμμετοχή του κοινού ή και απευθύνονται σε θέματα που αφορούν σε κοινότητες ή στο κοινωνικό σύνολο.  Οι επιλογές σας μπορεί να συμπεριλαμβάνουν άλλα έργα της </w:t>
      </w:r>
      <w:proofErr w:type="spellStart"/>
      <w:r w:rsidRPr="008F2801">
        <w:t>Καλ</w:t>
      </w:r>
      <w:proofErr w:type="spellEnd"/>
      <w:r w:rsidRPr="008F2801">
        <w:t xml:space="preserve"> ή της </w:t>
      </w:r>
      <w:proofErr w:type="spellStart"/>
      <w:r w:rsidRPr="008F2801">
        <w:t>Ζασίρ</w:t>
      </w:r>
      <w:proofErr w:type="spellEnd"/>
      <w:r w:rsidRPr="008F2801">
        <w:t>.  Στην εργασία περιγράφετε με ακρίβεια τα έργα, το κοινωνικό τους περιεχόμενο, καθώς και τις αισθητικές επιλογές που το διαμορφώνου</w:t>
      </w:r>
      <w:r>
        <w:t xml:space="preserve">ν, </w:t>
      </w:r>
      <w:r>
        <w:lastRenderedPageBreak/>
        <w:t xml:space="preserve">χρησιμοποιώντας και </w:t>
      </w:r>
      <w:proofErr w:type="spellStart"/>
      <w:r>
        <w:t>οπτικο</w:t>
      </w:r>
      <w:proofErr w:type="spellEnd"/>
      <w:r>
        <w:t>-α</w:t>
      </w:r>
      <w:r w:rsidRPr="008F2801">
        <w:t xml:space="preserve">κουστικό υλικό όπου είναι δυνατόν.  Ποιος είναι ο ρόλος των συμμετεχόντων και του κοινού καθώς και των καλλιτεχνών;  Πού και πώς παρουσιάζεται το έργο;  Πώς επιδρά ο χώρος στην διαμόρφωσή του;  </w:t>
      </w:r>
    </w:p>
    <w:p w14:paraId="59476CB1" w14:textId="77777777" w:rsidR="005367FB" w:rsidRDefault="005367FB" w:rsidP="005367FB"/>
    <w:p w14:paraId="2CFE7913" w14:textId="77777777" w:rsidR="005367FB" w:rsidRDefault="005367FB" w:rsidP="005367FB"/>
    <w:p w14:paraId="131AAB91" w14:textId="77777777" w:rsidR="005367FB" w:rsidRDefault="005367FB" w:rsidP="005367FB"/>
    <w:p w14:paraId="0134A4FC" w14:textId="0698FC97" w:rsidR="005367FB" w:rsidRPr="00352779" w:rsidRDefault="005367FB" w:rsidP="005367FB">
      <w:r>
        <w:t xml:space="preserve">ΥΛΗ </w:t>
      </w:r>
      <w:r w:rsidR="00874A80">
        <w:t>ΠΡΟΦΟΡΙΚΗΣ ΕΞΕΤΑΣΗΣ</w:t>
      </w:r>
    </w:p>
    <w:p w14:paraId="5BA9F9B6" w14:textId="77777777" w:rsidR="005367FB" w:rsidRDefault="005367FB" w:rsidP="005367FB">
      <w:pPr>
        <w:widowControl w:val="0"/>
        <w:jc w:val="both"/>
      </w:pPr>
    </w:p>
    <w:p w14:paraId="22DDB4BB" w14:textId="77777777" w:rsidR="005367FB" w:rsidRPr="00E376DD" w:rsidRDefault="005367FB" w:rsidP="005367FB">
      <w:pPr>
        <w:widowControl w:val="0"/>
        <w:ind w:firstLine="720"/>
        <w:jc w:val="both"/>
      </w:pPr>
      <w:r>
        <w:t xml:space="preserve"> </w:t>
      </w:r>
      <w:r w:rsidRPr="00E376DD">
        <w:t>Εισαγωγή</w:t>
      </w:r>
    </w:p>
    <w:p w14:paraId="2E6B214F" w14:textId="77777777" w:rsidR="005367FB" w:rsidRPr="00E376DD" w:rsidRDefault="005367FB" w:rsidP="005367FB">
      <w:pPr>
        <w:widowControl w:val="0"/>
        <w:ind w:left="720"/>
        <w:jc w:val="both"/>
      </w:pPr>
      <w:r w:rsidRPr="00E376DD">
        <w:rPr>
          <w:lang w:val="en-US"/>
        </w:rPr>
        <w:t>P</w:t>
      </w:r>
      <w:r w:rsidRPr="00E376DD">
        <w:t xml:space="preserve">. </w:t>
      </w:r>
      <w:r w:rsidRPr="00E376DD">
        <w:rPr>
          <w:lang w:val="en-US"/>
        </w:rPr>
        <w:t>Pavis</w:t>
      </w:r>
      <w:r w:rsidRPr="00E376DD">
        <w:t>, Λεξικό του θεάτρου (επιλογές)</w:t>
      </w:r>
    </w:p>
    <w:p w14:paraId="5EE99017" w14:textId="77777777" w:rsidR="005367FB" w:rsidRPr="00E376DD" w:rsidRDefault="005367FB" w:rsidP="005367FB">
      <w:pPr>
        <w:widowControl w:val="0"/>
        <w:ind w:left="720"/>
        <w:jc w:val="both"/>
      </w:pPr>
      <w:r w:rsidRPr="00E376DD">
        <w:t xml:space="preserve">Ε. </w:t>
      </w:r>
      <w:proofErr w:type="spellStart"/>
      <w:r w:rsidRPr="00E376DD">
        <w:t>Βαροπούλου</w:t>
      </w:r>
      <w:proofErr w:type="spellEnd"/>
      <w:r w:rsidRPr="00E376DD">
        <w:t xml:space="preserve">, «Προς μια νέα συνείδηση του χρόνου και του βλέμματος» και «Το λυκόφως των μεγάλων σκηνοθετών» στο </w:t>
      </w:r>
      <w:r w:rsidRPr="00E376DD">
        <w:rPr>
          <w:i/>
        </w:rPr>
        <w:t>Ζωντανό θέατρο</w:t>
      </w:r>
      <w:r w:rsidRPr="00E376DD">
        <w:t xml:space="preserve"> 17-52.</w:t>
      </w:r>
    </w:p>
    <w:p w14:paraId="4149ABA1" w14:textId="77777777" w:rsidR="005367FB" w:rsidRPr="00E376DD" w:rsidRDefault="005367FB" w:rsidP="005367FB">
      <w:pPr>
        <w:widowControl w:val="0"/>
        <w:jc w:val="both"/>
      </w:pPr>
    </w:p>
    <w:p w14:paraId="424A2132" w14:textId="77777777" w:rsidR="005367FB" w:rsidRPr="00E376DD" w:rsidRDefault="005367FB" w:rsidP="005367FB">
      <w:pPr>
        <w:widowControl w:val="0"/>
        <w:ind w:left="720"/>
        <w:jc w:val="both"/>
        <w:rPr>
          <w:lang w:val="en-US"/>
        </w:rPr>
      </w:pPr>
      <w:r w:rsidRPr="00E376DD">
        <w:rPr>
          <w:lang w:val="en-US"/>
        </w:rPr>
        <w:t xml:space="preserve">Robert Wilson, Absolute Wilson </w:t>
      </w:r>
      <w:r w:rsidRPr="00E376DD">
        <w:t>και</w:t>
      </w:r>
      <w:r w:rsidRPr="00E376DD">
        <w:rPr>
          <w:lang w:val="en-US"/>
        </w:rPr>
        <w:t xml:space="preserve"> </w:t>
      </w:r>
      <w:r w:rsidRPr="00E376DD">
        <w:rPr>
          <w:i/>
          <w:lang w:val="en-US"/>
        </w:rPr>
        <w:t>Les Fables de La Fontaine</w:t>
      </w:r>
      <w:r w:rsidRPr="00E376DD">
        <w:rPr>
          <w:lang w:val="en-US"/>
        </w:rPr>
        <w:t xml:space="preserve"> </w:t>
      </w:r>
      <w:r w:rsidRPr="00E376DD">
        <w:t>βασισμένο</w:t>
      </w:r>
      <w:r w:rsidRPr="00E376DD">
        <w:rPr>
          <w:lang w:val="en-US"/>
        </w:rPr>
        <w:t xml:space="preserve"> </w:t>
      </w:r>
      <w:r w:rsidRPr="00E376DD">
        <w:t>σε</w:t>
      </w:r>
      <w:r w:rsidRPr="00E376DD">
        <w:rPr>
          <w:lang w:val="en-US"/>
        </w:rPr>
        <w:t xml:space="preserve"> </w:t>
      </w:r>
      <w:r w:rsidRPr="00E376DD">
        <w:t>μύθους</w:t>
      </w:r>
      <w:r w:rsidRPr="00E376DD">
        <w:rPr>
          <w:lang w:val="en-US"/>
        </w:rPr>
        <w:t xml:space="preserve"> </w:t>
      </w:r>
      <w:r w:rsidRPr="00E376DD">
        <w:t>του</w:t>
      </w:r>
      <w:r w:rsidRPr="00E376DD">
        <w:rPr>
          <w:lang w:val="en-US"/>
        </w:rPr>
        <w:t xml:space="preserve"> </w:t>
      </w:r>
      <w:r w:rsidRPr="00E376DD">
        <w:t>Λα</w:t>
      </w:r>
      <w:r w:rsidRPr="00E376DD">
        <w:rPr>
          <w:lang w:val="en-US"/>
        </w:rPr>
        <w:t xml:space="preserve"> </w:t>
      </w:r>
      <w:r w:rsidRPr="00E376DD">
        <w:t>Φοντέν</w:t>
      </w:r>
    </w:p>
    <w:p w14:paraId="30E84F9C" w14:textId="77777777" w:rsidR="005367FB" w:rsidRPr="00E376DD" w:rsidRDefault="005367FB" w:rsidP="005367FB">
      <w:pPr>
        <w:widowControl w:val="0"/>
        <w:ind w:left="720"/>
        <w:jc w:val="both"/>
        <w:rPr>
          <w:lang w:val="en-US"/>
        </w:rPr>
      </w:pPr>
      <w:hyperlink r:id="rId7" w:history="1">
        <w:r w:rsidRPr="00E376DD">
          <w:rPr>
            <w:rStyle w:val="Hyperlink"/>
            <w:rFonts w:eastAsiaTheme="majorEastAsia"/>
            <w:lang w:val="en-US"/>
          </w:rPr>
          <w:t>https://www.youtube.com/watch?v=yVxDBojxnKA&amp;t=2725s</w:t>
        </w:r>
      </w:hyperlink>
    </w:p>
    <w:p w14:paraId="5B42E258" w14:textId="77777777" w:rsidR="005367FB" w:rsidRPr="00E376DD" w:rsidRDefault="005367FB" w:rsidP="005367FB">
      <w:pPr>
        <w:widowControl w:val="0"/>
        <w:ind w:left="720"/>
        <w:jc w:val="both"/>
        <w:rPr>
          <w:lang w:val="en-US"/>
        </w:rPr>
      </w:pPr>
      <w:proofErr w:type="spellStart"/>
      <w:r w:rsidRPr="00E376DD">
        <w:rPr>
          <w:lang w:val="en-US"/>
        </w:rPr>
        <w:t>Αronson</w:t>
      </w:r>
      <w:proofErr w:type="spellEnd"/>
      <w:r w:rsidRPr="00E376DD">
        <w:rPr>
          <w:lang w:val="en-US"/>
        </w:rPr>
        <w:t xml:space="preserve">, “Robert Wilson” </w:t>
      </w:r>
      <w:r w:rsidRPr="00E376DD">
        <w:t>στο</w:t>
      </w:r>
      <w:r w:rsidRPr="00E376DD">
        <w:rPr>
          <w:lang w:val="en-US"/>
        </w:rPr>
        <w:t xml:space="preserve"> </w:t>
      </w:r>
      <w:r w:rsidRPr="00E376DD">
        <w:rPr>
          <w:i/>
          <w:lang w:val="en-US"/>
        </w:rPr>
        <w:t xml:space="preserve">American </w:t>
      </w:r>
      <w:r w:rsidRPr="00E376DD">
        <w:rPr>
          <w:i/>
        </w:rPr>
        <w:t>Α</w:t>
      </w:r>
      <w:proofErr w:type="spellStart"/>
      <w:r w:rsidRPr="00E376DD">
        <w:rPr>
          <w:i/>
          <w:lang w:val="en-US"/>
        </w:rPr>
        <w:t>vant-garde</w:t>
      </w:r>
      <w:proofErr w:type="spellEnd"/>
      <w:r w:rsidRPr="00E376DD">
        <w:rPr>
          <w:i/>
          <w:lang w:val="en-US"/>
        </w:rPr>
        <w:t xml:space="preserve"> </w:t>
      </w:r>
      <w:r w:rsidRPr="00E376DD">
        <w:rPr>
          <w:i/>
        </w:rPr>
        <w:t>Τ</w:t>
      </w:r>
      <w:proofErr w:type="spellStart"/>
      <w:r w:rsidRPr="00E376DD">
        <w:rPr>
          <w:i/>
          <w:lang w:val="en-US"/>
        </w:rPr>
        <w:t>heatre</w:t>
      </w:r>
      <w:proofErr w:type="spellEnd"/>
      <w:r w:rsidRPr="00E376DD">
        <w:rPr>
          <w:i/>
          <w:lang w:val="en-US"/>
        </w:rPr>
        <w:t xml:space="preserve">: </w:t>
      </w:r>
      <w:r w:rsidRPr="00E376DD">
        <w:rPr>
          <w:i/>
        </w:rPr>
        <w:t>Α</w:t>
      </w:r>
      <w:r w:rsidRPr="00E376DD">
        <w:rPr>
          <w:i/>
          <w:lang w:val="en-US"/>
        </w:rPr>
        <w:t xml:space="preserve"> </w:t>
      </w:r>
      <w:r w:rsidRPr="00E376DD">
        <w:rPr>
          <w:i/>
        </w:rPr>
        <w:t>Η</w:t>
      </w:r>
      <w:proofErr w:type="spellStart"/>
      <w:r w:rsidRPr="00E376DD">
        <w:rPr>
          <w:i/>
          <w:lang w:val="en-US"/>
        </w:rPr>
        <w:t>istory</w:t>
      </w:r>
      <w:proofErr w:type="spellEnd"/>
      <w:r w:rsidRPr="00E376DD">
        <w:rPr>
          <w:lang w:val="en-US"/>
        </w:rPr>
        <w:t>, 122-133</w:t>
      </w:r>
    </w:p>
    <w:p w14:paraId="2FF23F88" w14:textId="77777777" w:rsidR="005367FB" w:rsidRPr="00E376DD" w:rsidRDefault="005367FB" w:rsidP="005367FB">
      <w:pPr>
        <w:widowControl w:val="0"/>
        <w:ind w:left="720"/>
        <w:jc w:val="both"/>
        <w:rPr>
          <w:lang w:val="en-US"/>
        </w:rPr>
      </w:pPr>
      <w:r w:rsidRPr="00E376DD">
        <w:rPr>
          <w:lang w:val="en-US"/>
        </w:rPr>
        <w:t xml:space="preserve">Brantley, “On the surface the Moral: Beneath that, the Blood.” </w:t>
      </w:r>
      <w:r w:rsidRPr="00E376DD">
        <w:rPr>
          <w:i/>
          <w:lang w:val="en-US"/>
        </w:rPr>
        <w:t>The New York Times</w:t>
      </w:r>
      <w:r w:rsidRPr="00E376DD">
        <w:rPr>
          <w:lang w:val="en-US"/>
        </w:rPr>
        <w:t xml:space="preserve"> July 12, 2007.</w:t>
      </w:r>
    </w:p>
    <w:p w14:paraId="7B7C1E04" w14:textId="77777777" w:rsidR="005367FB" w:rsidRPr="00E376DD" w:rsidRDefault="005367FB" w:rsidP="005367FB">
      <w:pPr>
        <w:widowControl w:val="0"/>
        <w:ind w:firstLine="720"/>
        <w:jc w:val="both"/>
        <w:rPr>
          <w:i/>
          <w:lang w:val="en-US"/>
        </w:rPr>
      </w:pPr>
      <w:r w:rsidRPr="00E376DD">
        <w:rPr>
          <w:lang w:val="en-US"/>
        </w:rPr>
        <w:t xml:space="preserve">Marranca, “Introduction” </w:t>
      </w:r>
      <w:r w:rsidRPr="00E376DD">
        <w:t>στο</w:t>
      </w:r>
      <w:r w:rsidRPr="00E376DD">
        <w:rPr>
          <w:lang w:val="en-US"/>
        </w:rPr>
        <w:t xml:space="preserve"> </w:t>
      </w:r>
      <w:r w:rsidRPr="00E376DD">
        <w:rPr>
          <w:i/>
          <w:lang w:val="en-US"/>
        </w:rPr>
        <w:t>The Theatre of Images</w:t>
      </w:r>
    </w:p>
    <w:p w14:paraId="639888F2" w14:textId="77777777" w:rsidR="005367FB" w:rsidRPr="00E376DD" w:rsidRDefault="005367FB" w:rsidP="005367FB">
      <w:pPr>
        <w:widowControl w:val="0"/>
        <w:ind w:firstLine="720"/>
        <w:jc w:val="both"/>
        <w:rPr>
          <w:lang w:val="en-US"/>
        </w:rPr>
      </w:pPr>
      <w:proofErr w:type="spellStart"/>
      <w:r w:rsidRPr="00E376DD">
        <w:rPr>
          <w:lang w:val="en-US"/>
        </w:rPr>
        <w:t>Shomit</w:t>
      </w:r>
      <w:proofErr w:type="spellEnd"/>
      <w:r w:rsidRPr="00E376DD">
        <w:rPr>
          <w:lang w:val="en-US"/>
        </w:rPr>
        <w:t xml:space="preserve"> Mitter, «Robert Wilson” </w:t>
      </w:r>
      <w:r w:rsidRPr="00E376DD">
        <w:t>στο</w:t>
      </w:r>
      <w:r w:rsidRPr="00E376DD">
        <w:rPr>
          <w:lang w:val="en-US"/>
        </w:rPr>
        <w:t xml:space="preserve"> </w:t>
      </w:r>
      <w:r w:rsidRPr="00E376DD">
        <w:rPr>
          <w:i/>
          <w:lang w:val="en-US"/>
        </w:rPr>
        <w:t>Fifty Key Theater Directors</w:t>
      </w:r>
      <w:r w:rsidRPr="00E376DD">
        <w:rPr>
          <w:lang w:val="en-US"/>
        </w:rPr>
        <w:t>, 185-190.</w:t>
      </w:r>
    </w:p>
    <w:p w14:paraId="6DCA91BD" w14:textId="77777777" w:rsidR="005367FB" w:rsidRPr="00E376DD" w:rsidRDefault="005367FB" w:rsidP="005367FB">
      <w:pPr>
        <w:widowControl w:val="0"/>
        <w:ind w:firstLine="720"/>
        <w:jc w:val="both"/>
      </w:pPr>
      <w:r w:rsidRPr="00E376DD">
        <w:t xml:space="preserve">Ε. </w:t>
      </w:r>
      <w:proofErr w:type="spellStart"/>
      <w:r w:rsidRPr="00E376DD">
        <w:t>Βαροπούλου</w:t>
      </w:r>
      <w:proofErr w:type="spellEnd"/>
      <w:r w:rsidRPr="00E376DD">
        <w:t xml:space="preserve">, «Ο Ουίλσον της παντομίμας» στο </w:t>
      </w:r>
      <w:r w:rsidRPr="00E376DD">
        <w:rPr>
          <w:i/>
        </w:rPr>
        <w:t>Ζωντανό θέατρο</w:t>
      </w:r>
      <w:r w:rsidRPr="00E376DD">
        <w:t xml:space="preserve"> 108-112.</w:t>
      </w:r>
    </w:p>
    <w:p w14:paraId="0F45FA19" w14:textId="77777777" w:rsidR="005367FB" w:rsidRPr="00E376DD" w:rsidRDefault="005367FB" w:rsidP="005367FB">
      <w:pPr>
        <w:pStyle w:val="ListParagraph"/>
        <w:widowControl w:val="0"/>
        <w:ind w:left="1080"/>
        <w:jc w:val="both"/>
        <w:rPr>
          <w:lang w:val="en-US"/>
        </w:rPr>
      </w:pPr>
      <w:hyperlink r:id="rId8" w:history="1">
        <w:r w:rsidRPr="00E376DD">
          <w:rPr>
            <w:rStyle w:val="Hyperlink"/>
            <w:rFonts w:eastAsiaTheme="majorEastAsia"/>
            <w:lang w:val="en-US"/>
          </w:rPr>
          <w:t>www.robertwilson.com</w:t>
        </w:r>
      </w:hyperlink>
    </w:p>
    <w:p w14:paraId="0A983D12" w14:textId="77777777" w:rsidR="005367FB" w:rsidRPr="00E376DD" w:rsidRDefault="005367FB" w:rsidP="005367FB">
      <w:pPr>
        <w:widowControl w:val="0"/>
        <w:ind w:firstLine="720"/>
        <w:jc w:val="both"/>
        <w:rPr>
          <w:lang w:val="en-US"/>
        </w:rPr>
      </w:pPr>
      <w:r w:rsidRPr="00E376DD">
        <w:rPr>
          <w:lang w:val="en-US"/>
        </w:rPr>
        <w:t xml:space="preserve">H-Th Lehmann, Wilson or the landscape </w:t>
      </w:r>
      <w:proofErr w:type="gramStart"/>
      <w:r w:rsidRPr="00E376DD">
        <w:t>στο</w:t>
      </w:r>
      <w:r w:rsidRPr="00E376DD">
        <w:rPr>
          <w:lang w:val="en-US"/>
        </w:rPr>
        <w:t xml:space="preserve">  </w:t>
      </w:r>
      <w:proofErr w:type="spellStart"/>
      <w:r w:rsidRPr="00E376DD">
        <w:rPr>
          <w:i/>
          <w:lang w:val="en-US"/>
        </w:rPr>
        <w:t>Postdramatic</w:t>
      </w:r>
      <w:proofErr w:type="spellEnd"/>
      <w:proofErr w:type="gramEnd"/>
      <w:r w:rsidRPr="00E376DD">
        <w:rPr>
          <w:i/>
          <w:lang w:val="en-US"/>
        </w:rPr>
        <w:t xml:space="preserve"> Theatre</w:t>
      </w:r>
      <w:r w:rsidRPr="00E376DD">
        <w:rPr>
          <w:lang w:val="en-US"/>
        </w:rPr>
        <w:t>, 77-81</w:t>
      </w:r>
    </w:p>
    <w:p w14:paraId="6CC3F61D" w14:textId="5AD2E011" w:rsidR="005367FB" w:rsidRPr="00E376DD" w:rsidRDefault="005367FB" w:rsidP="00874A80">
      <w:pPr>
        <w:widowControl w:val="0"/>
        <w:ind w:left="720"/>
        <w:jc w:val="both"/>
      </w:pPr>
      <w:r w:rsidRPr="00E376DD">
        <w:t xml:space="preserve">Α. </w:t>
      </w:r>
      <w:proofErr w:type="spellStart"/>
      <w:r w:rsidRPr="00E376DD">
        <w:t>Αρτώ</w:t>
      </w:r>
      <w:proofErr w:type="spellEnd"/>
      <w:r w:rsidRPr="00E376DD">
        <w:t xml:space="preserve">, “Το θέατρο και η σκληρότητα” στο </w:t>
      </w:r>
      <w:r w:rsidRPr="00E376DD">
        <w:rPr>
          <w:i/>
        </w:rPr>
        <w:t>Το θέατρο και το είδωλό του</w:t>
      </w:r>
      <w:r w:rsidRPr="00E376DD">
        <w:t>, 95-114.</w:t>
      </w:r>
    </w:p>
    <w:p w14:paraId="34C5AF8C" w14:textId="77777777" w:rsidR="005367FB" w:rsidRPr="00E376DD" w:rsidRDefault="005367FB" w:rsidP="005367FB">
      <w:pPr>
        <w:widowControl w:val="0"/>
        <w:ind w:left="720"/>
      </w:pPr>
    </w:p>
    <w:p w14:paraId="1EEC4ED3" w14:textId="77777777" w:rsidR="005367FB" w:rsidRPr="00E376DD" w:rsidRDefault="005367FB" w:rsidP="005367FB">
      <w:pPr>
        <w:pStyle w:val="ListParagraph"/>
        <w:widowControl w:val="0"/>
        <w:ind w:left="0" w:firstLine="720"/>
        <w:jc w:val="both"/>
        <w:rPr>
          <w:lang w:val="en-US"/>
        </w:rPr>
      </w:pPr>
      <w:r w:rsidRPr="00E376DD">
        <w:rPr>
          <w:lang w:val="en-US"/>
        </w:rPr>
        <w:t>Sophie Calle, “</w:t>
      </w:r>
      <w:proofErr w:type="spellStart"/>
      <w:r w:rsidRPr="00E376DD">
        <w:rPr>
          <w:lang w:val="en-US"/>
        </w:rPr>
        <w:t>Prenez</w:t>
      </w:r>
      <w:proofErr w:type="spellEnd"/>
      <w:r w:rsidRPr="00E376DD">
        <w:rPr>
          <w:lang w:val="en-US"/>
        </w:rPr>
        <w:t xml:space="preserve"> Soin de Vous” </w:t>
      </w:r>
      <w:r w:rsidRPr="00E376DD">
        <w:t>και</w:t>
      </w:r>
      <w:r w:rsidRPr="00E376DD">
        <w:rPr>
          <w:lang w:val="en-US"/>
        </w:rPr>
        <w:t xml:space="preserve"> Emily Jacir “Where we come from”</w:t>
      </w:r>
    </w:p>
    <w:p w14:paraId="6A98BAA2" w14:textId="77777777" w:rsidR="005367FB" w:rsidRPr="00E376DD" w:rsidRDefault="005367FB" w:rsidP="005367FB">
      <w:pPr>
        <w:pStyle w:val="ListParagraph"/>
        <w:widowControl w:val="0"/>
        <w:ind w:left="0"/>
        <w:jc w:val="both"/>
        <w:rPr>
          <w:lang w:val="en-US"/>
        </w:rPr>
      </w:pPr>
      <w:r w:rsidRPr="00E376DD">
        <w:rPr>
          <w:lang w:val="en-US"/>
        </w:rPr>
        <w:tab/>
        <w:t xml:space="preserve">E. Jacir, “Where we come from” </w:t>
      </w:r>
      <w:r w:rsidRPr="00E376DD">
        <w:rPr>
          <w:i/>
          <w:lang w:val="en-US"/>
        </w:rPr>
        <w:t>Grand Street</w:t>
      </w:r>
      <w:r w:rsidRPr="00E376DD">
        <w:rPr>
          <w:lang w:val="en-US"/>
        </w:rPr>
        <w:t xml:space="preserve"> 72 </w:t>
      </w:r>
      <w:r w:rsidRPr="00E376DD">
        <w:rPr>
          <w:i/>
          <w:lang w:val="en-US"/>
        </w:rPr>
        <w:t>Detours</w:t>
      </w:r>
      <w:r w:rsidRPr="00E376DD">
        <w:rPr>
          <w:lang w:val="en-US"/>
        </w:rPr>
        <w:t xml:space="preserve"> (2003), </w:t>
      </w:r>
      <w:r w:rsidRPr="00E376DD">
        <w:t>σ</w:t>
      </w:r>
      <w:r w:rsidRPr="00E376DD">
        <w:rPr>
          <w:lang w:val="en-US"/>
        </w:rPr>
        <w:t>. 95-105.</w:t>
      </w:r>
    </w:p>
    <w:p w14:paraId="003CCBB9" w14:textId="77777777" w:rsidR="005367FB" w:rsidRPr="00E376DD" w:rsidRDefault="005367FB" w:rsidP="005367FB">
      <w:pPr>
        <w:pStyle w:val="ListParagraph"/>
        <w:widowControl w:val="0"/>
        <w:jc w:val="both"/>
        <w:rPr>
          <w:lang w:val="en-US"/>
        </w:rPr>
      </w:pPr>
      <w:r w:rsidRPr="00E376DD">
        <w:rPr>
          <w:lang w:val="en-US"/>
        </w:rPr>
        <w:t xml:space="preserve">K. Houston, “Remote Control: Distance in Two Works by Emily Jacir and Wafaa Bilal” SECAC Review XVI (2). </w:t>
      </w:r>
    </w:p>
    <w:p w14:paraId="376016C7" w14:textId="77777777" w:rsidR="005367FB" w:rsidRPr="00E376DD" w:rsidRDefault="005367FB" w:rsidP="005367FB">
      <w:pPr>
        <w:pStyle w:val="ListParagraph"/>
        <w:widowControl w:val="0"/>
        <w:jc w:val="both"/>
        <w:rPr>
          <w:lang w:val="en-US"/>
        </w:rPr>
      </w:pPr>
      <w:r w:rsidRPr="00E376DD">
        <w:rPr>
          <w:lang w:val="en-US"/>
        </w:rPr>
        <w:t xml:space="preserve">Jordan, Sh. “Performance in Sophie Calle’s </w:t>
      </w:r>
      <w:proofErr w:type="spellStart"/>
      <w:r w:rsidRPr="00E376DD">
        <w:rPr>
          <w:i/>
          <w:lang w:val="en-US"/>
        </w:rPr>
        <w:t>Prenez</w:t>
      </w:r>
      <w:proofErr w:type="spellEnd"/>
      <w:r w:rsidRPr="00E376DD">
        <w:rPr>
          <w:i/>
          <w:lang w:val="en-US"/>
        </w:rPr>
        <w:t xml:space="preserve"> Soin de Vous</w:t>
      </w:r>
      <w:r w:rsidRPr="00E376DD">
        <w:rPr>
          <w:lang w:val="en-US"/>
        </w:rPr>
        <w:t xml:space="preserve">” </w:t>
      </w:r>
      <w:r w:rsidRPr="00E376DD">
        <w:rPr>
          <w:i/>
          <w:lang w:val="en-US"/>
        </w:rPr>
        <w:t>French Cultural Studies</w:t>
      </w:r>
      <w:r w:rsidRPr="00E376DD">
        <w:rPr>
          <w:lang w:val="en-US"/>
        </w:rPr>
        <w:t xml:space="preserve"> 2 (4) (2013).</w:t>
      </w:r>
    </w:p>
    <w:p w14:paraId="7C56AE53" w14:textId="77777777" w:rsidR="005367FB" w:rsidRPr="00E376DD" w:rsidRDefault="005367FB" w:rsidP="005367FB">
      <w:pPr>
        <w:ind w:left="720"/>
      </w:pPr>
      <w:proofErr w:type="spellStart"/>
      <w:r w:rsidRPr="00E376DD">
        <w:t>Κοτζαμάνη</w:t>
      </w:r>
      <w:proofErr w:type="spellEnd"/>
      <w:r w:rsidRPr="00E376DD">
        <w:t>: “</w:t>
      </w:r>
      <w:r w:rsidRPr="00E376DD">
        <w:rPr>
          <w:lang w:val="en-US"/>
        </w:rPr>
        <w:t>Emily</w:t>
      </w:r>
      <w:r w:rsidRPr="00E376DD">
        <w:t xml:space="preserve"> </w:t>
      </w:r>
      <w:r w:rsidRPr="00E376DD">
        <w:rPr>
          <w:lang w:val="en-US"/>
        </w:rPr>
        <w:t>Jacir</w:t>
      </w:r>
      <w:r w:rsidRPr="00E376DD">
        <w:t xml:space="preserve"> και </w:t>
      </w:r>
      <w:r w:rsidRPr="00E376DD">
        <w:rPr>
          <w:lang w:val="en-US"/>
        </w:rPr>
        <w:t>Sophie</w:t>
      </w:r>
      <w:r w:rsidRPr="00E376DD">
        <w:t xml:space="preserve"> </w:t>
      </w:r>
      <w:r w:rsidRPr="00E376DD">
        <w:rPr>
          <w:lang w:val="en-US"/>
        </w:rPr>
        <w:t>Calle</w:t>
      </w:r>
      <w:r w:rsidRPr="00E376DD">
        <w:t>: καταστολή, παράβαση και συλλογικότητα στη σύγχρονη τέχνη” (Πρακτικά 6</w:t>
      </w:r>
      <w:r w:rsidRPr="00E376DD">
        <w:rPr>
          <w:vertAlign w:val="superscript"/>
        </w:rPr>
        <w:t>ου</w:t>
      </w:r>
      <w:r w:rsidRPr="00E376DD">
        <w:t xml:space="preserve"> Πανελλήνιου </w:t>
      </w:r>
      <w:proofErr w:type="spellStart"/>
      <w:r w:rsidRPr="00E376DD">
        <w:t>Θεατρολογικού</w:t>
      </w:r>
      <w:proofErr w:type="spellEnd"/>
      <w:r w:rsidRPr="00E376DD">
        <w:t xml:space="preserve"> Συνεδρίου, Τμήμα Θεατρικών Σπουδών, ΠΑΠΕΛ).</w:t>
      </w:r>
    </w:p>
    <w:p w14:paraId="246AB32B" w14:textId="77777777" w:rsidR="005367FB" w:rsidRPr="00E376DD" w:rsidRDefault="005367FB" w:rsidP="005367FB">
      <w:pPr>
        <w:widowControl w:val="0"/>
      </w:pPr>
    </w:p>
    <w:p w14:paraId="2C684CC4" w14:textId="77777777" w:rsidR="005367FB" w:rsidRPr="00E376DD" w:rsidRDefault="005367FB" w:rsidP="005367FB">
      <w:pPr>
        <w:ind w:firstLine="720"/>
      </w:pPr>
      <w:proofErr w:type="spellStart"/>
      <w:r w:rsidRPr="00E376DD">
        <w:rPr>
          <w:i/>
          <w:iCs/>
        </w:rPr>
        <w:t>Πολύτοπον</w:t>
      </w:r>
      <w:proofErr w:type="spellEnd"/>
      <w:r w:rsidRPr="00E376DD">
        <w:rPr>
          <w:i/>
          <w:iCs/>
        </w:rPr>
        <w:t xml:space="preserve"> των Μυκηνών</w:t>
      </w:r>
      <w:r w:rsidRPr="00E376DD">
        <w:t xml:space="preserve"> του Ι. Ξενάκη (1978)</w:t>
      </w:r>
    </w:p>
    <w:p w14:paraId="3855D45E" w14:textId="77777777" w:rsidR="005367FB" w:rsidRPr="00E376DD" w:rsidRDefault="005367FB" w:rsidP="005367FB">
      <w:pPr>
        <w:ind w:left="720"/>
      </w:pPr>
      <w:r w:rsidRPr="00E376DD">
        <w:t xml:space="preserve">Σε κινηματογράφηση του Κ. </w:t>
      </w:r>
      <w:proofErr w:type="spellStart"/>
      <w:r w:rsidRPr="00E376DD">
        <w:t>Φέρρη</w:t>
      </w:r>
      <w:proofErr w:type="spellEnd"/>
      <w:r w:rsidRPr="00E376DD">
        <w:t xml:space="preserve"> στο https://www.youtube.com/watch?v=Yzfn_TC9GO0</w:t>
      </w:r>
    </w:p>
    <w:p w14:paraId="4FC0F9D5" w14:textId="77777777" w:rsidR="005367FB" w:rsidRPr="00E376DD" w:rsidRDefault="005367FB" w:rsidP="005367FB">
      <w:pPr>
        <w:ind w:left="720"/>
        <w:rPr>
          <w:lang w:val="en-US"/>
        </w:rPr>
      </w:pPr>
      <w:r w:rsidRPr="00E376DD">
        <w:rPr>
          <w:lang w:val="en-US"/>
        </w:rPr>
        <w:t xml:space="preserve">O. </w:t>
      </w:r>
      <w:proofErr w:type="spellStart"/>
      <w:r w:rsidRPr="00E376DD">
        <w:rPr>
          <w:lang w:val="en-US"/>
        </w:rPr>
        <w:t>Touloumi</w:t>
      </w:r>
      <w:proofErr w:type="spellEnd"/>
      <w:r w:rsidRPr="00E376DD">
        <w:rPr>
          <w:lang w:val="en-US"/>
        </w:rPr>
        <w:t xml:space="preserve">, “The Politics of Totality …” </w:t>
      </w:r>
      <w:r w:rsidRPr="00E376DD">
        <w:t>στο</w:t>
      </w:r>
      <w:r w:rsidRPr="00E376DD">
        <w:rPr>
          <w:lang w:val="en-US"/>
        </w:rPr>
        <w:t xml:space="preserve"> Sharon </w:t>
      </w:r>
      <w:proofErr w:type="spellStart"/>
      <w:r w:rsidRPr="00E376DD">
        <w:rPr>
          <w:lang w:val="en-US"/>
        </w:rPr>
        <w:t>Kannach</w:t>
      </w:r>
      <w:proofErr w:type="spellEnd"/>
      <w:r w:rsidRPr="00E376DD">
        <w:rPr>
          <w:lang w:val="en-US"/>
        </w:rPr>
        <w:t>, ed. Xenakis Matters.  Pendragon Press.</w:t>
      </w:r>
    </w:p>
    <w:p w14:paraId="393D387F" w14:textId="77777777" w:rsidR="005367FB" w:rsidRDefault="005367FB" w:rsidP="005367FB">
      <w:pPr>
        <w:ind w:left="720"/>
      </w:pPr>
      <w:r w:rsidRPr="00E376DD">
        <w:rPr>
          <w:lang w:val="en-US"/>
        </w:rPr>
        <w:t xml:space="preserve">M. Kotzamani, “Greek History as Environmental Performance: Iannis Xenakis’ </w:t>
      </w:r>
      <w:r w:rsidRPr="00E376DD">
        <w:rPr>
          <w:i/>
          <w:lang w:val="en-US"/>
        </w:rPr>
        <w:t xml:space="preserve">Mycenae </w:t>
      </w:r>
      <w:proofErr w:type="spellStart"/>
      <w:r w:rsidRPr="00E376DD">
        <w:rPr>
          <w:i/>
          <w:lang w:val="en-US"/>
        </w:rPr>
        <w:t>Polytopon</w:t>
      </w:r>
      <w:proofErr w:type="spellEnd"/>
      <w:r w:rsidRPr="00E376DD">
        <w:rPr>
          <w:lang w:val="en-US"/>
        </w:rPr>
        <w:t xml:space="preserve"> and Beyond” </w:t>
      </w:r>
      <w:r w:rsidRPr="00E376DD">
        <w:rPr>
          <w:i/>
          <w:lang w:val="en-US"/>
        </w:rPr>
        <w:t>Gramma</w:t>
      </w:r>
      <w:r w:rsidRPr="00E376DD">
        <w:rPr>
          <w:lang w:val="en-US"/>
        </w:rPr>
        <w:t xml:space="preserve">, Vol. 24 </w:t>
      </w:r>
    </w:p>
    <w:p w14:paraId="4A32C497" w14:textId="12AB1AD0" w:rsidR="00874A80" w:rsidRPr="00234AAC" w:rsidRDefault="00234AAC" w:rsidP="005367FB">
      <w:pPr>
        <w:ind w:left="720"/>
        <w:rPr>
          <w:lang w:val="en-US"/>
        </w:rPr>
      </w:pPr>
      <w:r>
        <w:rPr>
          <w:lang w:val="en-US"/>
        </w:rPr>
        <w:t xml:space="preserve">M. </w:t>
      </w:r>
      <w:r w:rsidRPr="00234AAC">
        <w:rPr>
          <w:lang w:val="en-US"/>
        </w:rPr>
        <w:t>Kotzamani</w:t>
      </w:r>
      <w:r>
        <w:rPr>
          <w:lang w:val="en-US"/>
        </w:rPr>
        <w:t>,</w:t>
      </w:r>
      <w:r w:rsidRPr="00234AAC">
        <w:rPr>
          <w:lang w:val="en-US"/>
        </w:rPr>
        <w:t xml:space="preserve"> "Under the Starry Night: Darkness, Community and Theatricality in Iannis Xenakis’s Mycenae </w:t>
      </w:r>
      <w:proofErr w:type="spellStart"/>
      <w:r w:rsidRPr="00234AAC">
        <w:rPr>
          <w:lang w:val="en-US"/>
        </w:rPr>
        <w:t>Polytopon</w:t>
      </w:r>
      <w:proofErr w:type="spellEnd"/>
      <w:r w:rsidRPr="00234AAC">
        <w:rPr>
          <w:lang w:val="en-US"/>
        </w:rPr>
        <w:t xml:space="preserve">’." </w:t>
      </w:r>
      <w:r w:rsidRPr="00234AAC">
        <w:rPr>
          <w:i/>
          <w:iCs/>
          <w:lang w:val="en-US"/>
        </w:rPr>
        <w:t>Theatre in the Dark: Shadow, Gloom and Blackout in Contemporary Theatre</w:t>
      </w:r>
      <w:r w:rsidRPr="00234AAC">
        <w:rPr>
          <w:lang w:val="en-US"/>
        </w:rPr>
        <w:t xml:space="preserve"> (2017): 221-43.</w:t>
      </w:r>
    </w:p>
    <w:p w14:paraId="7CAD2AFD" w14:textId="77777777" w:rsidR="005367FB" w:rsidRPr="00E376DD" w:rsidRDefault="005367FB" w:rsidP="005367FB">
      <w:pPr>
        <w:ind w:left="720" w:hanging="720"/>
        <w:rPr>
          <w:lang w:val="en-US"/>
        </w:rPr>
      </w:pPr>
    </w:p>
    <w:p w14:paraId="0A89A907" w14:textId="577C1BF8" w:rsidR="005367FB" w:rsidRPr="00E376DD" w:rsidRDefault="005367FB" w:rsidP="00874A80">
      <w:pPr>
        <w:pStyle w:val="ListParagraph"/>
        <w:widowControl w:val="0"/>
        <w:jc w:val="both"/>
        <w:rPr>
          <w:lang w:val="en-US"/>
        </w:rPr>
      </w:pPr>
    </w:p>
    <w:p w14:paraId="5E26380D" w14:textId="77777777" w:rsidR="005367FB" w:rsidRPr="00E376DD" w:rsidRDefault="005367FB" w:rsidP="005367FB">
      <w:pPr>
        <w:widowControl w:val="0"/>
        <w:jc w:val="both"/>
        <w:rPr>
          <w:lang w:val="en-US"/>
        </w:rPr>
      </w:pPr>
      <w:r w:rsidRPr="00E376DD">
        <w:rPr>
          <w:b/>
        </w:rPr>
        <w:t>Προτεινόμενη</w:t>
      </w:r>
      <w:r w:rsidRPr="00E376DD">
        <w:rPr>
          <w:b/>
          <w:lang w:val="en-US"/>
        </w:rPr>
        <w:t xml:space="preserve"> </w:t>
      </w:r>
      <w:r w:rsidRPr="00E376DD">
        <w:rPr>
          <w:b/>
        </w:rPr>
        <w:t>Βιβλιογραφία</w:t>
      </w:r>
    </w:p>
    <w:p w14:paraId="7B4121A3" w14:textId="77777777" w:rsidR="005367FB" w:rsidRPr="00E376DD" w:rsidRDefault="005367FB" w:rsidP="005367FB">
      <w:pPr>
        <w:widowControl w:val="0"/>
        <w:ind w:left="720" w:firstLine="720"/>
        <w:jc w:val="both"/>
        <w:rPr>
          <w:i/>
          <w:lang w:val="en-US"/>
        </w:rPr>
      </w:pPr>
    </w:p>
    <w:p w14:paraId="0CB45F08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lang w:val="en-US"/>
        </w:rPr>
        <w:t xml:space="preserve">Aronson, A. (2000). </w:t>
      </w:r>
      <w:r w:rsidRPr="00E376DD">
        <w:rPr>
          <w:i/>
          <w:lang w:val="en-US"/>
        </w:rPr>
        <w:t>American Avant-garde Theater: A History</w:t>
      </w:r>
      <w:r w:rsidRPr="00E376DD">
        <w:rPr>
          <w:lang w:val="en-US"/>
        </w:rPr>
        <w:t>. London and New York: Routledge.</w:t>
      </w:r>
    </w:p>
    <w:p w14:paraId="7EAE7046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</w:rPr>
        <w:t xml:space="preserve"> </w:t>
      </w:r>
      <w:proofErr w:type="spellStart"/>
      <w:r w:rsidRPr="00E376DD">
        <w:t>Βαροπούλου</w:t>
      </w:r>
      <w:proofErr w:type="spellEnd"/>
      <w:r w:rsidRPr="00E376DD">
        <w:t xml:space="preserve">, Ε. (2002).  </w:t>
      </w:r>
      <w:r w:rsidRPr="00E376DD">
        <w:rPr>
          <w:i/>
        </w:rPr>
        <w:t>Το ζωντανό θέατρο</w:t>
      </w:r>
      <w:r w:rsidRPr="00E376DD">
        <w:t>.  Αθήνα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</w:t>
      </w:r>
      <w:r w:rsidRPr="00E376DD">
        <w:t>Άγρα</w:t>
      </w:r>
      <w:r w:rsidRPr="00E376DD">
        <w:rPr>
          <w:lang w:val="en-US"/>
        </w:rPr>
        <w:t>.</w:t>
      </w:r>
    </w:p>
    <w:p w14:paraId="05161A61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r w:rsidRPr="00E376DD">
        <w:rPr>
          <w:lang w:val="en-US"/>
        </w:rPr>
        <w:t>Brook, P</w:t>
      </w:r>
      <w:r w:rsidRPr="00E376DD">
        <w:rPr>
          <w:lang w:val="en-GB"/>
        </w:rPr>
        <w:t>.</w:t>
      </w:r>
      <w:r w:rsidRPr="00E376DD">
        <w:rPr>
          <w:lang w:val="en-US"/>
        </w:rPr>
        <w:t xml:space="preserve"> (1968). </w:t>
      </w:r>
      <w:r w:rsidRPr="00E376DD">
        <w:rPr>
          <w:i/>
          <w:lang w:val="en-US"/>
        </w:rPr>
        <w:t>The Empty Space</w:t>
      </w:r>
      <w:r w:rsidRPr="00E376DD">
        <w:rPr>
          <w:lang w:val="en-US"/>
        </w:rPr>
        <w:t>. 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Atheneum.</w:t>
      </w:r>
    </w:p>
    <w:p w14:paraId="3BFEB2E9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r w:rsidRPr="00E376DD">
        <w:rPr>
          <w:lang w:val="en-US"/>
        </w:rPr>
        <w:t xml:space="preserve">Carlson, M. 1996). </w:t>
      </w:r>
      <w:r w:rsidRPr="00E376DD">
        <w:rPr>
          <w:i/>
          <w:lang w:val="en-US"/>
        </w:rPr>
        <w:t>Performance: A Critical Introduction</w:t>
      </w:r>
      <w:r w:rsidRPr="00E376DD">
        <w:rPr>
          <w:lang w:val="en-US"/>
        </w:rPr>
        <w:t>. London and New York</w:t>
      </w:r>
      <w:r w:rsidRPr="00E376DD">
        <w:rPr>
          <w:lang w:val="en-GB"/>
        </w:rPr>
        <w:t xml:space="preserve">:      </w:t>
      </w:r>
      <w:r w:rsidRPr="00E376DD">
        <w:rPr>
          <w:lang w:val="en-US"/>
        </w:rPr>
        <w:t>Routledge.</w:t>
      </w:r>
    </w:p>
    <w:p w14:paraId="35226CE9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r w:rsidRPr="00E376DD">
        <w:rPr>
          <w:lang w:val="en-US"/>
        </w:rPr>
        <w:t xml:space="preserve">Delgado, M. </w:t>
      </w:r>
      <w:r w:rsidRPr="00E376DD">
        <w:rPr>
          <w:lang w:val="en-GB"/>
        </w:rPr>
        <w:t>&amp;</w:t>
      </w:r>
      <w:r w:rsidRPr="00E376DD">
        <w:rPr>
          <w:lang w:val="en-US"/>
        </w:rPr>
        <w:t xml:space="preserve"> Heritage, P. (1996). </w:t>
      </w:r>
      <w:r w:rsidRPr="00E376DD">
        <w:rPr>
          <w:i/>
          <w:lang w:val="en-US"/>
        </w:rPr>
        <w:t>In Contact with the Gods? Directors Talk</w:t>
      </w:r>
      <w:r w:rsidRPr="00E376DD">
        <w:rPr>
          <w:i/>
          <w:lang w:val="en-GB"/>
        </w:rPr>
        <w:t xml:space="preserve"> </w:t>
      </w:r>
      <w:r w:rsidRPr="00E376DD">
        <w:rPr>
          <w:i/>
          <w:lang w:val="en-US"/>
        </w:rPr>
        <w:t>Theater</w:t>
      </w:r>
      <w:r w:rsidRPr="00E376DD">
        <w:rPr>
          <w:lang w:val="en-US"/>
        </w:rPr>
        <w:t>. Manchester and 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Manchester University Press.</w:t>
      </w:r>
    </w:p>
    <w:p w14:paraId="04B8FF70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US"/>
        </w:rPr>
        <w:t xml:space="preserve"> </w:t>
      </w:r>
      <w:r w:rsidRPr="00E376DD">
        <w:rPr>
          <w:lang w:val="en-US"/>
        </w:rPr>
        <w:t xml:space="preserve">Hirst, D. (1993). </w:t>
      </w:r>
      <w:r w:rsidRPr="00E376DD">
        <w:rPr>
          <w:i/>
          <w:lang w:val="en-US"/>
        </w:rPr>
        <w:t>Giorgio Strehler</w:t>
      </w:r>
      <w:r w:rsidRPr="00E376DD">
        <w:rPr>
          <w:lang w:val="en-US"/>
        </w:rPr>
        <w:t>. Cambridge and 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Cambridge University</w:t>
      </w:r>
      <w:r w:rsidRPr="00E376DD">
        <w:rPr>
          <w:lang w:val="en-GB"/>
        </w:rPr>
        <w:t xml:space="preserve">      </w:t>
      </w:r>
      <w:r w:rsidRPr="00E376DD">
        <w:rPr>
          <w:lang w:val="en-US"/>
        </w:rPr>
        <w:t xml:space="preserve">Press.  </w:t>
      </w:r>
    </w:p>
    <w:p w14:paraId="482C2887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proofErr w:type="spellStart"/>
      <w:r w:rsidRPr="00E376DD">
        <w:rPr>
          <w:lang w:val="en-US"/>
        </w:rPr>
        <w:t>Kiernander</w:t>
      </w:r>
      <w:proofErr w:type="spellEnd"/>
      <w:r w:rsidRPr="00E376DD">
        <w:rPr>
          <w:lang w:val="en-US"/>
        </w:rPr>
        <w:t>, A. (1993)</w:t>
      </w:r>
      <w:r w:rsidRPr="00E376DD">
        <w:rPr>
          <w:lang w:val="en-GB"/>
        </w:rPr>
        <w:t>.</w:t>
      </w:r>
      <w:r w:rsidRPr="00E376DD">
        <w:rPr>
          <w:lang w:val="en-US"/>
        </w:rPr>
        <w:t xml:space="preserve"> </w:t>
      </w:r>
      <w:r w:rsidRPr="00E376DD">
        <w:rPr>
          <w:i/>
          <w:lang w:val="en-US"/>
        </w:rPr>
        <w:t xml:space="preserve">Ariane </w:t>
      </w:r>
      <w:proofErr w:type="spellStart"/>
      <w:r w:rsidRPr="00E376DD">
        <w:rPr>
          <w:i/>
          <w:lang w:val="en-US"/>
        </w:rPr>
        <w:t>Mnouchkine</w:t>
      </w:r>
      <w:proofErr w:type="spellEnd"/>
      <w:r w:rsidRPr="00E376DD">
        <w:rPr>
          <w:i/>
          <w:lang w:val="en-US"/>
        </w:rPr>
        <w:t xml:space="preserve"> and the Theatre du Soleil</w:t>
      </w:r>
      <w:r w:rsidRPr="00E376DD">
        <w:rPr>
          <w:lang w:val="en-US"/>
        </w:rPr>
        <w:t>.  Cambridge and</w:t>
      </w:r>
      <w:r w:rsidRPr="00E376DD">
        <w:rPr>
          <w:lang w:val="en-GB"/>
        </w:rPr>
        <w:t xml:space="preserve">      </w:t>
      </w:r>
      <w:r w:rsidRPr="00E376DD">
        <w:rPr>
          <w:lang w:val="en-US"/>
        </w:rPr>
        <w:t>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Cambridge University Press.  </w:t>
      </w:r>
    </w:p>
    <w:p w14:paraId="611BAFC3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r w:rsidRPr="00E376DD">
        <w:rPr>
          <w:lang w:val="en-US"/>
        </w:rPr>
        <w:t xml:space="preserve">Kotzamani, M. (2009). </w:t>
      </w:r>
      <w:r w:rsidRPr="00E376DD">
        <w:rPr>
          <w:i/>
          <w:lang w:val="en-US"/>
        </w:rPr>
        <w:t>Athens Ancient and Modern</w:t>
      </w:r>
      <w:r w:rsidRPr="00E376DD">
        <w:rPr>
          <w:lang w:val="en-US"/>
        </w:rPr>
        <w:t xml:space="preserve">.  Special Issue on </w:t>
      </w:r>
      <w:proofErr w:type="gramStart"/>
      <w:r w:rsidRPr="00E376DD">
        <w:rPr>
          <w:lang w:val="en-US"/>
        </w:rPr>
        <w:t>the Contemporary</w:t>
      </w:r>
      <w:proofErr w:type="gramEnd"/>
      <w:r w:rsidRPr="00E376DD">
        <w:rPr>
          <w:lang w:val="en-US"/>
        </w:rPr>
        <w:t xml:space="preserve"> Arts in Athens.  PAJ 92, 2.</w:t>
      </w:r>
    </w:p>
    <w:p w14:paraId="7E32BB2E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US"/>
        </w:rPr>
        <w:t xml:space="preserve"> </w:t>
      </w:r>
      <w:r w:rsidRPr="00E376DD">
        <w:rPr>
          <w:lang w:val="en-US"/>
        </w:rPr>
        <w:t xml:space="preserve">Lehmann, H. T. (2006). </w:t>
      </w:r>
      <w:proofErr w:type="spellStart"/>
      <w:r w:rsidRPr="00E376DD">
        <w:rPr>
          <w:i/>
          <w:lang w:val="en-US"/>
        </w:rPr>
        <w:t>Postdramatic</w:t>
      </w:r>
      <w:proofErr w:type="spellEnd"/>
      <w:r w:rsidRPr="00E376DD">
        <w:rPr>
          <w:i/>
          <w:lang w:val="en-US"/>
        </w:rPr>
        <w:t xml:space="preserve"> Theater</w:t>
      </w:r>
      <w:r w:rsidRPr="00E376DD">
        <w:rPr>
          <w:lang w:val="en-US"/>
        </w:rPr>
        <w:t>. London and 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Routledge.</w:t>
      </w:r>
    </w:p>
    <w:p w14:paraId="7B43D0C3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US"/>
        </w:rPr>
        <w:t xml:space="preserve"> </w:t>
      </w:r>
      <w:r w:rsidRPr="00E376DD">
        <w:rPr>
          <w:lang w:val="en-US"/>
        </w:rPr>
        <w:t xml:space="preserve">Marranca. B. (1977). </w:t>
      </w:r>
      <w:r w:rsidRPr="00E376DD">
        <w:rPr>
          <w:i/>
          <w:lang w:val="en-US"/>
        </w:rPr>
        <w:t>The Theater of Images</w:t>
      </w:r>
      <w:r w:rsidRPr="00E376DD">
        <w:rPr>
          <w:lang w:val="en-US"/>
        </w:rPr>
        <w:t>. Baltimore and London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Johns Hopkins</w:t>
      </w:r>
      <w:r w:rsidRPr="00E376DD">
        <w:rPr>
          <w:lang w:val="en-GB"/>
        </w:rPr>
        <w:t xml:space="preserve">      </w:t>
      </w:r>
      <w:r w:rsidRPr="00E376DD">
        <w:rPr>
          <w:lang w:val="en-US"/>
        </w:rPr>
        <w:t>University Press.</w:t>
      </w:r>
    </w:p>
    <w:p w14:paraId="73ACCF2F" w14:textId="77777777" w:rsidR="005367FB" w:rsidRPr="005367FB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  <w:lang w:val="en-GB"/>
        </w:rPr>
        <w:t xml:space="preserve"> </w:t>
      </w:r>
      <w:r w:rsidRPr="00E376DD">
        <w:rPr>
          <w:lang w:val="en-US"/>
        </w:rPr>
        <w:t xml:space="preserve">Mitter, Sh. </w:t>
      </w:r>
      <w:r w:rsidRPr="00E376DD">
        <w:rPr>
          <w:lang w:val="en-GB"/>
        </w:rPr>
        <w:t>&amp;</w:t>
      </w:r>
      <w:r w:rsidRPr="00E376DD">
        <w:rPr>
          <w:lang w:val="en-US"/>
        </w:rPr>
        <w:t xml:space="preserve"> Shevtsova</w:t>
      </w:r>
      <w:r w:rsidRPr="00E376DD">
        <w:rPr>
          <w:lang w:val="en-GB"/>
        </w:rPr>
        <w:t>,</w:t>
      </w:r>
      <w:r w:rsidRPr="00E376DD">
        <w:rPr>
          <w:lang w:val="en-US"/>
        </w:rPr>
        <w:t xml:space="preserve"> M. (2005). </w:t>
      </w:r>
      <w:r w:rsidRPr="00E376DD">
        <w:rPr>
          <w:i/>
          <w:lang w:val="en-US"/>
        </w:rPr>
        <w:t>Fifty Key Theatre Directors</w:t>
      </w:r>
      <w:r w:rsidRPr="00E376DD">
        <w:rPr>
          <w:lang w:val="en-US"/>
        </w:rPr>
        <w:t>. London</w:t>
      </w:r>
      <w:r w:rsidRPr="005367FB">
        <w:rPr>
          <w:lang w:val="en-US"/>
        </w:rPr>
        <w:t xml:space="preserve"> </w:t>
      </w:r>
      <w:r w:rsidRPr="00E376DD">
        <w:rPr>
          <w:lang w:val="en-US"/>
        </w:rPr>
        <w:t>and</w:t>
      </w:r>
      <w:r w:rsidRPr="005367FB">
        <w:rPr>
          <w:lang w:val="en-US"/>
        </w:rPr>
        <w:t xml:space="preserve"> </w:t>
      </w:r>
      <w:r w:rsidRPr="00E376DD">
        <w:rPr>
          <w:lang w:val="en-US"/>
        </w:rPr>
        <w:t>New</w:t>
      </w:r>
      <w:r w:rsidRPr="005367FB">
        <w:rPr>
          <w:lang w:val="en-US"/>
        </w:rPr>
        <w:t xml:space="preserve"> </w:t>
      </w:r>
      <w:r w:rsidRPr="00E376DD">
        <w:rPr>
          <w:lang w:val="en-US"/>
        </w:rPr>
        <w:t>York</w:t>
      </w:r>
      <w:r w:rsidRPr="005367FB">
        <w:rPr>
          <w:lang w:val="en-US"/>
        </w:rPr>
        <w:t xml:space="preserve">: </w:t>
      </w:r>
      <w:r w:rsidRPr="00E376DD">
        <w:rPr>
          <w:lang w:val="en-US"/>
        </w:rPr>
        <w:t>Routledge</w:t>
      </w:r>
      <w:r w:rsidRPr="005367FB">
        <w:rPr>
          <w:lang w:val="en-US"/>
        </w:rPr>
        <w:t>.</w:t>
      </w:r>
    </w:p>
    <w:p w14:paraId="47953223" w14:textId="77777777" w:rsidR="005367FB" w:rsidRPr="00E376DD" w:rsidRDefault="005367FB" w:rsidP="005367FB">
      <w:pPr>
        <w:ind w:left="540" w:hanging="360"/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</w:rPr>
        <w:t xml:space="preserve"> </w:t>
      </w:r>
      <w:proofErr w:type="spellStart"/>
      <w:r w:rsidRPr="00E376DD">
        <w:t>Πατσαλίδης</w:t>
      </w:r>
      <w:proofErr w:type="spellEnd"/>
      <w:r w:rsidRPr="00E376DD">
        <w:t xml:space="preserve">, Σ. (2012). </w:t>
      </w:r>
      <w:r w:rsidRPr="00E376DD">
        <w:rPr>
          <w:i/>
        </w:rPr>
        <w:t>Θέατρο και Παγκοσμιοποίηση</w:t>
      </w:r>
      <w:r w:rsidRPr="00E376DD">
        <w:t xml:space="preserve">. Αθήνα: </w:t>
      </w:r>
      <w:proofErr w:type="spellStart"/>
      <w:r w:rsidRPr="00E376DD">
        <w:t>Παπαζήσης</w:t>
      </w:r>
      <w:proofErr w:type="spellEnd"/>
      <w:r w:rsidRPr="00E376DD">
        <w:t xml:space="preserve">. </w:t>
      </w:r>
    </w:p>
    <w:p w14:paraId="41B1507E" w14:textId="77777777" w:rsidR="005367FB" w:rsidRPr="00E376DD" w:rsidRDefault="005367FB" w:rsidP="005367FB">
      <w:pPr>
        <w:ind w:left="540" w:hanging="360"/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</w:rPr>
        <w:t xml:space="preserve"> </w:t>
      </w:r>
      <w:proofErr w:type="spellStart"/>
      <w:r w:rsidRPr="00E376DD">
        <w:t>Πατσαλίδης</w:t>
      </w:r>
      <w:proofErr w:type="spellEnd"/>
      <w:r w:rsidRPr="00E376DD">
        <w:t xml:space="preserve">, Σ. (2004). </w:t>
      </w:r>
      <w:r w:rsidRPr="00E376DD">
        <w:rPr>
          <w:i/>
        </w:rPr>
        <w:t>Από την αναπαράσταση στην παράσταση</w:t>
      </w:r>
      <w:r w:rsidRPr="00E376DD">
        <w:t xml:space="preserve">.  Αθήνα: Ελληνικά </w:t>
      </w:r>
    </w:p>
    <w:p w14:paraId="4A69BB34" w14:textId="77777777" w:rsidR="005367FB" w:rsidRPr="00E376DD" w:rsidRDefault="005367FB" w:rsidP="005367FB">
      <w:pPr>
        <w:ind w:left="540" w:hanging="360"/>
      </w:pPr>
      <w:r w:rsidRPr="00E376DD">
        <w:t xml:space="preserve">      Γράμματα.</w:t>
      </w:r>
    </w:p>
    <w:p w14:paraId="553F9407" w14:textId="77777777" w:rsidR="005367FB" w:rsidRPr="00E376DD" w:rsidRDefault="005367FB" w:rsidP="005367FB">
      <w:pPr>
        <w:ind w:left="540" w:hanging="360"/>
        <w:rPr>
          <w:lang w:val="en-US"/>
        </w:rPr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</w:rPr>
        <w:t xml:space="preserve"> </w:t>
      </w:r>
      <w:proofErr w:type="spellStart"/>
      <w:r w:rsidRPr="00E376DD">
        <w:t>Shevtsova</w:t>
      </w:r>
      <w:proofErr w:type="spellEnd"/>
      <w:r w:rsidRPr="00E376DD">
        <w:t xml:space="preserve">, M. (2007). </w:t>
      </w:r>
      <w:r w:rsidRPr="00E376DD">
        <w:rPr>
          <w:i/>
          <w:lang w:val="en-US"/>
        </w:rPr>
        <w:t>Robert Wilson</w:t>
      </w:r>
      <w:r w:rsidRPr="00E376DD">
        <w:rPr>
          <w:lang w:val="en-US"/>
        </w:rPr>
        <w:t>. London and New York</w:t>
      </w:r>
      <w:r w:rsidRPr="00E376DD">
        <w:rPr>
          <w:lang w:val="en-GB"/>
        </w:rPr>
        <w:t>:</w:t>
      </w:r>
      <w:r w:rsidRPr="00E376DD">
        <w:rPr>
          <w:lang w:val="en-US"/>
        </w:rPr>
        <w:t xml:space="preserve"> Routledge.</w:t>
      </w:r>
    </w:p>
    <w:p w14:paraId="031EBE18" w14:textId="77777777" w:rsidR="005367FB" w:rsidRPr="0028259F" w:rsidRDefault="005367FB" w:rsidP="005367FB">
      <w:pPr>
        <w:ind w:left="538" w:hanging="357"/>
      </w:pPr>
      <w:r w:rsidRPr="00E376DD">
        <w:rPr>
          <w:rFonts w:eastAsia="Arial Unicode MS"/>
        </w:rPr>
        <w:sym w:font="Wingdings" w:char="F026"/>
      </w:r>
      <w:r w:rsidRPr="00E376DD">
        <w:rPr>
          <w:rFonts w:eastAsia="Arial Unicode MS"/>
        </w:rPr>
        <w:t xml:space="preserve"> </w:t>
      </w:r>
      <w:proofErr w:type="spellStart"/>
      <w:r w:rsidRPr="00E376DD">
        <w:t>Τσατσούλης</w:t>
      </w:r>
      <w:proofErr w:type="spellEnd"/>
      <w:r w:rsidRPr="00E376DD">
        <w:t xml:space="preserve">, Δ. (2011). </w:t>
      </w:r>
      <w:r w:rsidRPr="00E376DD">
        <w:rPr>
          <w:i/>
        </w:rPr>
        <w:t>Διάλογος Εικόνων</w:t>
      </w:r>
      <w:r w:rsidRPr="00E376DD">
        <w:t xml:space="preserve">. Αθήνα: </w:t>
      </w:r>
      <w:proofErr w:type="spellStart"/>
      <w:r w:rsidRPr="00E376DD">
        <w:t>Παπαζήσης</w:t>
      </w:r>
      <w:proofErr w:type="spellEnd"/>
      <w:r w:rsidRPr="00E376DD">
        <w:t>.</w:t>
      </w:r>
      <w:r w:rsidRPr="0028259F">
        <w:t xml:space="preserve">  </w:t>
      </w:r>
    </w:p>
    <w:p w14:paraId="4D6F4143" w14:textId="77777777" w:rsidR="005367FB" w:rsidRPr="0028259F" w:rsidRDefault="005367FB" w:rsidP="005367FB">
      <w:pPr>
        <w:ind w:left="540" w:right="567" w:hanging="360"/>
        <w:rPr>
          <w:b/>
        </w:rPr>
      </w:pPr>
    </w:p>
    <w:p w14:paraId="40277711" w14:textId="77777777" w:rsidR="005367FB" w:rsidRPr="00CA5465" w:rsidRDefault="005367FB" w:rsidP="005367FB">
      <w:pPr>
        <w:widowControl w:val="0"/>
        <w:ind w:left="720" w:firstLine="720"/>
        <w:jc w:val="both"/>
      </w:pPr>
    </w:p>
    <w:p w14:paraId="450F9BD8" w14:textId="77777777" w:rsidR="005367FB" w:rsidRPr="004173C9" w:rsidRDefault="005367FB" w:rsidP="005367FB">
      <w:pPr>
        <w:widowControl w:val="0"/>
        <w:jc w:val="both"/>
        <w:rPr>
          <w:lang w:val="fr-FR"/>
        </w:rPr>
      </w:pPr>
    </w:p>
    <w:p w14:paraId="02DA910D" w14:textId="77777777" w:rsidR="005367FB" w:rsidRPr="004173C9" w:rsidRDefault="005367FB" w:rsidP="005367FB">
      <w:pPr>
        <w:widowControl w:val="0"/>
        <w:jc w:val="both"/>
        <w:rPr>
          <w:lang w:val="fr-FR"/>
        </w:rPr>
      </w:pPr>
    </w:p>
    <w:p w14:paraId="15FB6290" w14:textId="77777777" w:rsidR="005367FB" w:rsidRDefault="005367FB" w:rsidP="005367FB">
      <w:pPr>
        <w:jc w:val="both"/>
      </w:pPr>
      <w:bookmarkStart w:id="1" w:name="_Hlk169782114"/>
      <w:r>
        <w:t>ΕΡΩΤΗΣΕΙΣ ΓΙΑ ΜΕΛΕΤΗ</w:t>
      </w:r>
    </w:p>
    <w:p w14:paraId="6800E2B0" w14:textId="77777777" w:rsidR="005367FB" w:rsidRDefault="005367FB" w:rsidP="005367FB">
      <w:pPr>
        <w:jc w:val="both"/>
      </w:pPr>
    </w:p>
    <w:p w14:paraId="05056982" w14:textId="77777777" w:rsidR="005367FB" w:rsidRPr="00352779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 Τί είναι το Θέατρο Εικόνων</w:t>
      </w:r>
      <w:r w:rsidRPr="00352779">
        <w:t xml:space="preserve"> </w:t>
      </w:r>
      <w:r>
        <w:t>και ποιος εισήγαγε τον όρο αυτόν στην έρευνα</w:t>
      </w:r>
      <w:r w:rsidRPr="00352779">
        <w:t>;</w:t>
      </w:r>
    </w:p>
    <w:p w14:paraId="3BAD6576" w14:textId="77777777" w:rsidR="005367FB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Το έργο του </w:t>
      </w:r>
      <w:r>
        <w:rPr>
          <w:lang w:val="en-US"/>
        </w:rPr>
        <w:t>Robert</w:t>
      </w:r>
      <w:r w:rsidRPr="00352779">
        <w:t xml:space="preserve"> </w:t>
      </w:r>
      <w:r>
        <w:rPr>
          <w:lang w:val="en-US"/>
        </w:rPr>
        <w:t>Wilson</w:t>
      </w:r>
      <w:r w:rsidRPr="00352779">
        <w:t xml:space="preserve"> </w:t>
      </w:r>
      <w:r>
        <w:t xml:space="preserve">και ειδικότερα οι Μύθοι του </w:t>
      </w:r>
      <w:proofErr w:type="spellStart"/>
      <w:r>
        <w:t>Λαφονταίν</w:t>
      </w:r>
      <w:proofErr w:type="spellEnd"/>
      <w:r>
        <w:t xml:space="preserve"> εντάσσονται στο Θέατρο Εικόνων</w:t>
      </w:r>
      <w:r w:rsidRPr="00352779">
        <w:t xml:space="preserve">;  </w:t>
      </w:r>
      <w:r>
        <w:t xml:space="preserve">Αιτιολόγησε την απάντησή σου με </w:t>
      </w:r>
      <w:proofErr w:type="spellStart"/>
      <w:r>
        <w:t>παραδειγματα</w:t>
      </w:r>
      <w:proofErr w:type="spellEnd"/>
      <w:r>
        <w:t xml:space="preserve"> από την εν λόγω σκηνοθεσία</w:t>
      </w:r>
    </w:p>
    <w:p w14:paraId="061A336B" w14:textId="77777777" w:rsidR="005367FB" w:rsidRPr="00352779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Πώς προσεγγίζει ο </w:t>
      </w:r>
      <w:r>
        <w:rPr>
          <w:lang w:val="en-US"/>
        </w:rPr>
        <w:t>Hans</w:t>
      </w:r>
      <w:r w:rsidRPr="00352779">
        <w:t xml:space="preserve"> </w:t>
      </w:r>
      <w:r>
        <w:rPr>
          <w:lang w:val="en-US"/>
        </w:rPr>
        <w:t>Thies</w:t>
      </w:r>
      <w:r w:rsidRPr="00352779">
        <w:t xml:space="preserve"> </w:t>
      </w:r>
      <w:r>
        <w:rPr>
          <w:lang w:val="en-US"/>
        </w:rPr>
        <w:t>Lehmann</w:t>
      </w:r>
      <w:r w:rsidRPr="00352779">
        <w:t xml:space="preserve"> </w:t>
      </w:r>
      <w:r>
        <w:t xml:space="preserve">το θέατρο του </w:t>
      </w:r>
      <w:r>
        <w:rPr>
          <w:lang w:val="en-US"/>
        </w:rPr>
        <w:t>Robert</w:t>
      </w:r>
      <w:r w:rsidRPr="00352779">
        <w:t xml:space="preserve"> </w:t>
      </w:r>
      <w:r>
        <w:rPr>
          <w:lang w:val="en-US"/>
        </w:rPr>
        <w:t>Wilson</w:t>
      </w:r>
      <w:r w:rsidRPr="00352779">
        <w:t>;</w:t>
      </w:r>
    </w:p>
    <w:p w14:paraId="3633314A" w14:textId="77777777" w:rsidR="005367FB" w:rsidRPr="00352779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Τί αναλογίες βρίσκεις ανάμεσα στο Θέατρο της Σκληρότητας του </w:t>
      </w:r>
      <w:proofErr w:type="spellStart"/>
      <w:r>
        <w:t>Αρτώ</w:t>
      </w:r>
      <w:proofErr w:type="spellEnd"/>
      <w:r>
        <w:t xml:space="preserve"> και την σκηνική ερμηνεία του </w:t>
      </w:r>
      <w:r>
        <w:rPr>
          <w:lang w:val="en-US"/>
        </w:rPr>
        <w:t>Wilson</w:t>
      </w:r>
      <w:r w:rsidRPr="00352779">
        <w:t xml:space="preserve"> </w:t>
      </w:r>
      <w:r>
        <w:t xml:space="preserve">στους Μύθους του </w:t>
      </w:r>
      <w:proofErr w:type="spellStart"/>
      <w:r>
        <w:t>Λαφονταίν</w:t>
      </w:r>
      <w:proofErr w:type="spellEnd"/>
      <w:r w:rsidRPr="00352779">
        <w:t>;</w:t>
      </w:r>
    </w:p>
    <w:p w14:paraId="64F6BE2B" w14:textId="77777777" w:rsidR="005367FB" w:rsidRPr="00AE4754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Πώς διαφοροποιείται η ερμηνεία του </w:t>
      </w:r>
      <w:r>
        <w:rPr>
          <w:lang w:val="en-US"/>
        </w:rPr>
        <w:t>Wilson</w:t>
      </w:r>
      <w:r w:rsidRPr="00352779">
        <w:t xml:space="preserve"> </w:t>
      </w:r>
      <w:r>
        <w:t xml:space="preserve">από κλασικές ηθικοπλαστικές συλλήψεις των Μύθων του </w:t>
      </w:r>
      <w:proofErr w:type="spellStart"/>
      <w:r>
        <w:t>Λαφονταίν</w:t>
      </w:r>
      <w:proofErr w:type="spellEnd"/>
      <w:r w:rsidRPr="00352779">
        <w:t xml:space="preserve">;  </w:t>
      </w:r>
      <w:r>
        <w:t>Εξήγησε χρησιμοποιώντας παραδείγματα</w:t>
      </w:r>
    </w:p>
    <w:p w14:paraId="054E937A" w14:textId="77777777" w:rsidR="005367FB" w:rsidRDefault="005367FB" w:rsidP="005367FB">
      <w:pPr>
        <w:pStyle w:val="ListParagraph"/>
        <w:widowControl w:val="0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 </w:t>
      </w:r>
      <w:r>
        <w:t>Πώς</w:t>
      </w:r>
      <w:r w:rsidRPr="009D5F3C">
        <w:rPr>
          <w:lang w:val="en-US"/>
        </w:rPr>
        <w:t xml:space="preserve"> </w:t>
      </w:r>
      <w:r>
        <w:t>συγκρίνονται</w:t>
      </w:r>
      <w:r w:rsidRPr="009D5F3C">
        <w:rPr>
          <w:lang w:val="en-US"/>
        </w:rPr>
        <w:t xml:space="preserve"> </w:t>
      </w:r>
      <w:r>
        <w:t>τα</w:t>
      </w:r>
      <w:r w:rsidRPr="009D5F3C">
        <w:rPr>
          <w:lang w:val="en-US"/>
        </w:rPr>
        <w:t xml:space="preserve"> </w:t>
      </w:r>
      <w:r>
        <w:t>έργα</w:t>
      </w:r>
      <w:r w:rsidRPr="009D5F3C">
        <w:rPr>
          <w:lang w:val="en-US"/>
        </w:rPr>
        <w:t xml:space="preserve"> </w:t>
      </w:r>
      <w:r>
        <w:t>της</w:t>
      </w:r>
      <w:r w:rsidRPr="009D5F3C">
        <w:rPr>
          <w:lang w:val="en-US"/>
        </w:rPr>
        <w:t xml:space="preserve"> Sophie </w:t>
      </w:r>
      <w:proofErr w:type="spellStart"/>
      <w:r w:rsidRPr="009D5F3C">
        <w:rPr>
          <w:lang w:val="en-US"/>
        </w:rPr>
        <w:t>Calle“Prenez</w:t>
      </w:r>
      <w:proofErr w:type="spellEnd"/>
      <w:r w:rsidRPr="009D5F3C">
        <w:rPr>
          <w:lang w:val="en-US"/>
        </w:rPr>
        <w:t xml:space="preserve"> Soin de Vous” </w:t>
      </w:r>
      <w:r w:rsidRPr="00E376DD">
        <w:t>και</w:t>
      </w:r>
      <w:r w:rsidRPr="009D5F3C">
        <w:rPr>
          <w:lang w:val="en-US"/>
        </w:rPr>
        <w:t xml:space="preserve"> Emily Jacir “Where we come from”</w:t>
      </w:r>
      <w:r>
        <w:rPr>
          <w:lang w:val="en-US"/>
        </w:rPr>
        <w:t xml:space="preserve">;  </w:t>
      </w:r>
    </w:p>
    <w:p w14:paraId="327C596E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 w:rsidRPr="000E3ADF">
        <w:rPr>
          <w:lang w:val="en-US"/>
        </w:rPr>
        <w:t xml:space="preserve"> </w:t>
      </w:r>
      <w:r>
        <w:t>Ποια είναι τα πειραματικά στοιχεία αυτών των έργων</w:t>
      </w:r>
      <w:r w:rsidRPr="001B06EB">
        <w:t xml:space="preserve">;  </w:t>
      </w:r>
    </w:p>
    <w:p w14:paraId="677FADF2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>Πώς ορίζεται ο ρόλος της καλλιτέχνιδας στα δύο έργα</w:t>
      </w:r>
      <w:r w:rsidRPr="001B06EB">
        <w:t>;</w:t>
      </w:r>
    </w:p>
    <w:p w14:paraId="284106B7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>Πώς ορίζεται η συλλογικότητα στα δύο έργα -μπορούμε να την προσεγγίσουμε ως Χορό</w:t>
      </w:r>
      <w:r w:rsidRPr="001B06EB">
        <w:t xml:space="preserve">;  </w:t>
      </w:r>
      <w:r>
        <w:t>Ποιος είναι ο ρόλος της συλλογικότητας σε σχέση με την καλλιτέχνιδα</w:t>
      </w:r>
      <w:r w:rsidRPr="001B06EB">
        <w:t>;</w:t>
      </w:r>
    </w:p>
    <w:p w14:paraId="61AB603D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>Ποια είναι η σχέση τέχνης και ζωής στα δύο έργα</w:t>
      </w:r>
      <w:r w:rsidRPr="001B06EB">
        <w:t>;</w:t>
      </w:r>
    </w:p>
    <w:p w14:paraId="0697E220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Πώς προσεγγίζει τους ρόλους των φύλων το έργο της </w:t>
      </w:r>
      <w:proofErr w:type="spellStart"/>
      <w:r>
        <w:t>Ζασίρ</w:t>
      </w:r>
      <w:proofErr w:type="spellEnd"/>
      <w:r w:rsidRPr="001B06EB">
        <w:t>;</w:t>
      </w:r>
    </w:p>
    <w:p w14:paraId="0BCA9090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Πώς ορίζεται το έργο της </w:t>
      </w:r>
      <w:proofErr w:type="spellStart"/>
      <w:r>
        <w:t>Ζασίρ</w:t>
      </w:r>
      <w:proofErr w:type="spellEnd"/>
      <w:r>
        <w:t xml:space="preserve"> με βάση τον τόπο</w:t>
      </w:r>
      <w:r w:rsidRPr="001B06EB">
        <w:t>;</w:t>
      </w:r>
    </w:p>
    <w:p w14:paraId="75189ADB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Ποιο είναι το βασικό ερώτημα στο οποίο απαντούν τα έργα της </w:t>
      </w:r>
      <w:r>
        <w:rPr>
          <w:lang w:val="en-US"/>
        </w:rPr>
        <w:t>Calle</w:t>
      </w:r>
      <w:r w:rsidRPr="009D5F3C">
        <w:t xml:space="preserve"> </w:t>
      </w:r>
      <w:r>
        <w:t xml:space="preserve">και της </w:t>
      </w:r>
      <w:proofErr w:type="spellStart"/>
      <w:r>
        <w:t>Ζασίρ</w:t>
      </w:r>
      <w:proofErr w:type="spellEnd"/>
      <w:r>
        <w:t xml:space="preserve"> και ποιες είναι οι απαντήσεις που δίδονται</w:t>
      </w:r>
      <w:r w:rsidRPr="001B06EB">
        <w:t>;</w:t>
      </w:r>
    </w:p>
    <w:p w14:paraId="4BF9CCC0" w14:textId="77777777" w:rsidR="005367FB" w:rsidRPr="001B06EB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 Διακρίνεις κωμικά στοιχεία στο έργο της </w:t>
      </w:r>
      <w:r>
        <w:rPr>
          <w:lang w:val="en-US"/>
        </w:rPr>
        <w:t>Calle</w:t>
      </w:r>
      <w:r w:rsidRPr="001B06EB">
        <w:t xml:space="preserve">;  </w:t>
      </w:r>
      <w:r>
        <w:t>Δώσε μερικά παραδείγματα.  Μπορούμε να θεωρήσουμε το σενάριο που κατασκευάζει ως κωμωδία</w:t>
      </w:r>
      <w:r w:rsidRPr="009D5F3C">
        <w:t>;</w:t>
      </w:r>
    </w:p>
    <w:p w14:paraId="70F7BABA" w14:textId="14DFCDC9" w:rsidR="005367FB" w:rsidRPr="009D5F3C" w:rsidRDefault="005367FB" w:rsidP="00874A80">
      <w:pPr>
        <w:pStyle w:val="ListParagraph"/>
        <w:numPr>
          <w:ilvl w:val="0"/>
          <w:numId w:val="4"/>
        </w:numPr>
        <w:jc w:val="both"/>
      </w:pPr>
      <w:r>
        <w:t xml:space="preserve">Πώς προσεγγίζει το δράμα των προσφύγων η </w:t>
      </w:r>
      <w:proofErr w:type="spellStart"/>
      <w:r>
        <w:t>Ζασίρ</w:t>
      </w:r>
      <w:proofErr w:type="spellEnd"/>
      <w:r w:rsidRPr="001B06EB">
        <w:t xml:space="preserve">;  </w:t>
      </w:r>
      <w:r>
        <w:t>Ποια είναι μερικά τραγικά στοιχεία του έργου</w:t>
      </w:r>
      <w:r w:rsidRPr="001B06EB">
        <w:t>;</w:t>
      </w:r>
    </w:p>
    <w:p w14:paraId="6591DA74" w14:textId="795B8955" w:rsidR="005367FB" w:rsidRDefault="005367FB" w:rsidP="00874A80">
      <w:pPr>
        <w:pStyle w:val="ListParagraph"/>
        <w:numPr>
          <w:ilvl w:val="0"/>
          <w:numId w:val="4"/>
        </w:numPr>
        <w:jc w:val="both"/>
      </w:pPr>
      <w:r w:rsidRPr="000E3ADF">
        <w:t xml:space="preserve"> </w:t>
      </w:r>
      <w:r>
        <w:t xml:space="preserve">Τί είναι τα </w:t>
      </w:r>
      <w:proofErr w:type="spellStart"/>
      <w:r>
        <w:t>Πολύτοπα</w:t>
      </w:r>
      <w:proofErr w:type="spellEnd"/>
      <w:r>
        <w:t xml:space="preserve"> του Ξενάκη</w:t>
      </w:r>
      <w:r w:rsidRPr="000E3ADF">
        <w:t>;</w:t>
      </w:r>
    </w:p>
    <w:p w14:paraId="06FB55A0" w14:textId="31C24902" w:rsidR="005367FB" w:rsidRDefault="005367FB" w:rsidP="00874A80">
      <w:pPr>
        <w:pStyle w:val="ListParagraph"/>
        <w:numPr>
          <w:ilvl w:val="0"/>
          <w:numId w:val="4"/>
        </w:numPr>
        <w:jc w:val="both"/>
      </w:pPr>
      <w:r>
        <w:t>Ποια είναι η σχέση του έργου με τις Μυκήνες</w:t>
      </w:r>
      <w:r w:rsidRPr="000E3ADF">
        <w:t xml:space="preserve">;  </w:t>
      </w:r>
      <w:r>
        <w:t>Πώς προσεγγίζει το έργο τον αρχαιολογικό χώρο</w:t>
      </w:r>
      <w:r w:rsidRPr="000E3ADF">
        <w:t>;</w:t>
      </w:r>
    </w:p>
    <w:p w14:paraId="5C52A617" w14:textId="48AC19D3" w:rsidR="005367FB" w:rsidRDefault="005367FB" w:rsidP="00874A80">
      <w:pPr>
        <w:pStyle w:val="ListParagraph"/>
        <w:numPr>
          <w:ilvl w:val="0"/>
          <w:numId w:val="4"/>
        </w:numPr>
        <w:jc w:val="both"/>
      </w:pPr>
      <w:r>
        <w:t xml:space="preserve">Πώς συγκρίνεται η </w:t>
      </w:r>
      <w:proofErr w:type="spellStart"/>
      <w:r>
        <w:t>τοποειδική</w:t>
      </w:r>
      <w:proofErr w:type="spellEnd"/>
      <w:r>
        <w:t xml:space="preserve"> προσέγγιση του Ξενάκη στο </w:t>
      </w:r>
      <w:proofErr w:type="spellStart"/>
      <w:r>
        <w:t>Πολύτοπον</w:t>
      </w:r>
      <w:proofErr w:type="spellEnd"/>
      <w:r>
        <w:t xml:space="preserve"> των Μυκηνών και της </w:t>
      </w:r>
      <w:proofErr w:type="spellStart"/>
      <w:r>
        <w:t>Ζασίρ</w:t>
      </w:r>
      <w:proofErr w:type="spellEnd"/>
      <w:r>
        <w:t xml:space="preserve"> στο Από που καταγόμαστε</w:t>
      </w:r>
      <w:r w:rsidRPr="000E3ADF">
        <w:t>;</w:t>
      </w:r>
    </w:p>
    <w:p w14:paraId="3AB3D40E" w14:textId="6F4DA93D" w:rsidR="005367FB" w:rsidRDefault="005367FB" w:rsidP="00874A80">
      <w:pPr>
        <w:pStyle w:val="ListParagraph"/>
        <w:numPr>
          <w:ilvl w:val="0"/>
          <w:numId w:val="4"/>
        </w:numPr>
        <w:jc w:val="both"/>
      </w:pPr>
      <w:r>
        <w:t xml:space="preserve">Ποια είναι τα βασικά στοιχεία από τα οποία αποτελείται το </w:t>
      </w:r>
      <w:proofErr w:type="spellStart"/>
      <w:r>
        <w:t>Πολύτοπον</w:t>
      </w:r>
      <w:proofErr w:type="spellEnd"/>
      <w:r>
        <w:t xml:space="preserve"> των Μυκηνών και ποια είναι η σχέση μεταξύ τους</w:t>
      </w:r>
      <w:r w:rsidRPr="000E3ADF">
        <w:t>;</w:t>
      </w:r>
    </w:p>
    <w:p w14:paraId="2E06365C" w14:textId="21259D5A" w:rsidR="005367FB" w:rsidRDefault="005367FB" w:rsidP="00874A80">
      <w:pPr>
        <w:pStyle w:val="ListParagraph"/>
        <w:numPr>
          <w:ilvl w:val="0"/>
          <w:numId w:val="4"/>
        </w:numPr>
        <w:jc w:val="both"/>
      </w:pPr>
      <w:r>
        <w:t>Ποιος ήταν ο ρόλος των εθελοντών στο έργο του Ξενάκη</w:t>
      </w:r>
      <w:r w:rsidRPr="000E3ADF">
        <w:t xml:space="preserve">;  </w:t>
      </w:r>
      <w:r>
        <w:t>Μπορούμε να θεωρήσουμε το έργο συλλογική δημιουργία</w:t>
      </w:r>
      <w:r w:rsidRPr="000E3ADF">
        <w:t xml:space="preserve">;  </w:t>
      </w:r>
      <w:r>
        <w:t xml:space="preserve">Πώς συγκρίνεται η συλλογική σύλληψη στο έργο του Ξενάκη και σε αυτά της </w:t>
      </w:r>
      <w:r>
        <w:rPr>
          <w:lang w:val="en-US"/>
        </w:rPr>
        <w:t>Calle</w:t>
      </w:r>
      <w:r w:rsidRPr="000E3ADF">
        <w:t xml:space="preserve"> </w:t>
      </w:r>
      <w:r>
        <w:t xml:space="preserve">και της </w:t>
      </w:r>
      <w:proofErr w:type="spellStart"/>
      <w:r>
        <w:t>Ζασίρ</w:t>
      </w:r>
      <w:proofErr w:type="spellEnd"/>
      <w:r>
        <w:t xml:space="preserve"> αντίστοιχα</w:t>
      </w:r>
      <w:r w:rsidRPr="000E3ADF">
        <w:t>;</w:t>
      </w:r>
    </w:p>
    <w:p w14:paraId="3F602025" w14:textId="77777777" w:rsidR="005367FB" w:rsidRPr="000E3ADF" w:rsidRDefault="005367FB" w:rsidP="005367FB">
      <w:pPr>
        <w:pStyle w:val="ListParagraph"/>
        <w:numPr>
          <w:ilvl w:val="0"/>
          <w:numId w:val="4"/>
        </w:numPr>
        <w:jc w:val="both"/>
      </w:pPr>
      <w:r>
        <w:t xml:space="preserve">Πώς προσεγγίζει την ιστορία το </w:t>
      </w:r>
      <w:proofErr w:type="spellStart"/>
      <w:r>
        <w:t>Πολύτοπον</w:t>
      </w:r>
      <w:proofErr w:type="spellEnd"/>
      <w:r>
        <w:t xml:space="preserve"> των Μυκηνών</w:t>
      </w:r>
      <w:r w:rsidRPr="000E3ADF">
        <w:t>;</w:t>
      </w:r>
    </w:p>
    <w:p w14:paraId="65BDF22C" w14:textId="77777777" w:rsidR="005367FB" w:rsidRPr="00B10D0B" w:rsidRDefault="005367FB" w:rsidP="005367FB">
      <w:pPr>
        <w:pStyle w:val="ListParagraph"/>
        <w:numPr>
          <w:ilvl w:val="0"/>
          <w:numId w:val="4"/>
        </w:numPr>
        <w:jc w:val="both"/>
      </w:pPr>
      <w:r w:rsidRPr="00B10D0B">
        <w:t xml:space="preserve"> </w:t>
      </w:r>
      <w:r>
        <w:t xml:space="preserve">Πώς ερμηνεύει το </w:t>
      </w:r>
      <w:proofErr w:type="spellStart"/>
      <w:r>
        <w:t>Πολύτοπον</w:t>
      </w:r>
      <w:proofErr w:type="spellEnd"/>
      <w:r>
        <w:t xml:space="preserve"> των Μυκηνών το </w:t>
      </w:r>
      <w:proofErr w:type="spellStart"/>
      <w:r>
        <w:t>ντοκυμαντέρ</w:t>
      </w:r>
      <w:proofErr w:type="spellEnd"/>
      <w:r>
        <w:t xml:space="preserve"> του </w:t>
      </w:r>
      <w:proofErr w:type="spellStart"/>
      <w:r>
        <w:t>Φέρρη</w:t>
      </w:r>
      <w:proofErr w:type="spellEnd"/>
      <w:r w:rsidRPr="00B10D0B">
        <w:t>;</w:t>
      </w:r>
    </w:p>
    <w:p w14:paraId="43006DCE" w14:textId="77777777" w:rsidR="005367FB" w:rsidRPr="009D5F3C" w:rsidRDefault="005367FB" w:rsidP="005367FB">
      <w:pPr>
        <w:jc w:val="both"/>
      </w:pPr>
    </w:p>
    <w:bookmarkEnd w:id="1"/>
    <w:p w14:paraId="4AF529E1" w14:textId="77777777" w:rsidR="005367FB" w:rsidRPr="00643A86" w:rsidRDefault="005367FB" w:rsidP="005367FB">
      <w:pPr>
        <w:rPr>
          <w:lang w:val="fr-FR"/>
        </w:rPr>
      </w:pPr>
    </w:p>
    <w:p w14:paraId="3A548471" w14:textId="77777777" w:rsidR="005367FB" w:rsidRPr="00643A86" w:rsidRDefault="005367FB" w:rsidP="005367FB">
      <w:pPr>
        <w:rPr>
          <w:lang w:val="fr-FR"/>
        </w:rPr>
      </w:pPr>
    </w:p>
    <w:p w14:paraId="5769A583" w14:textId="77777777" w:rsidR="005367FB" w:rsidRPr="00CA5465" w:rsidRDefault="005367FB" w:rsidP="005367FB">
      <w:pPr>
        <w:rPr>
          <w:lang w:val="fr-FR"/>
        </w:rPr>
      </w:pPr>
    </w:p>
    <w:p w14:paraId="0AFF70DA" w14:textId="77777777" w:rsidR="005367FB" w:rsidRPr="00E81931" w:rsidRDefault="005367FB" w:rsidP="005367FB">
      <w:pPr>
        <w:rPr>
          <w:lang w:val="fr-FR"/>
        </w:rPr>
      </w:pPr>
    </w:p>
    <w:p w14:paraId="04992202" w14:textId="77777777" w:rsidR="005367FB" w:rsidRPr="00A84E0D" w:rsidRDefault="005367FB" w:rsidP="005367FB">
      <w:pPr>
        <w:rPr>
          <w:lang w:val="fr-FR"/>
        </w:rPr>
      </w:pPr>
    </w:p>
    <w:p w14:paraId="01BA4CCB" w14:textId="77777777" w:rsidR="005367FB" w:rsidRPr="004322B0" w:rsidRDefault="005367FB" w:rsidP="005367FB">
      <w:pPr>
        <w:rPr>
          <w:lang w:val="fr-FR"/>
        </w:rPr>
      </w:pPr>
    </w:p>
    <w:p w14:paraId="6320C5B6" w14:textId="77777777" w:rsidR="005367FB" w:rsidRPr="00F7284D" w:rsidRDefault="005367FB" w:rsidP="005367FB">
      <w:pPr>
        <w:rPr>
          <w:lang w:val="fr-FR"/>
        </w:rPr>
      </w:pPr>
    </w:p>
    <w:p w14:paraId="7B4DB946" w14:textId="77777777" w:rsidR="005367FB" w:rsidRPr="00BE047D" w:rsidRDefault="005367FB" w:rsidP="005367FB">
      <w:pPr>
        <w:rPr>
          <w:lang w:val="fr-FR"/>
        </w:rPr>
      </w:pPr>
    </w:p>
    <w:p w14:paraId="6FC9A152" w14:textId="77777777" w:rsidR="005367FB" w:rsidRPr="008254BC" w:rsidRDefault="005367FB" w:rsidP="005367FB">
      <w:pPr>
        <w:rPr>
          <w:lang w:val="fr-FR"/>
        </w:rPr>
      </w:pPr>
    </w:p>
    <w:p w14:paraId="253EC066" w14:textId="77777777" w:rsidR="005367FB" w:rsidRPr="000C6BD8" w:rsidRDefault="005367FB" w:rsidP="005367FB">
      <w:pPr>
        <w:rPr>
          <w:lang w:val="fr-FR"/>
        </w:rPr>
      </w:pPr>
    </w:p>
    <w:p w14:paraId="7367DB66" w14:textId="77777777" w:rsidR="005367FB" w:rsidRPr="007F4189" w:rsidRDefault="005367FB" w:rsidP="005367FB">
      <w:pPr>
        <w:rPr>
          <w:lang w:val="fr-FR"/>
        </w:rPr>
      </w:pPr>
    </w:p>
    <w:p w14:paraId="7258C9CB" w14:textId="77777777" w:rsidR="005367FB" w:rsidRPr="00124C12" w:rsidRDefault="005367FB" w:rsidP="005367FB">
      <w:pPr>
        <w:rPr>
          <w:lang w:val="fr-FR"/>
        </w:rPr>
      </w:pPr>
    </w:p>
    <w:p w14:paraId="534266C2" w14:textId="77777777" w:rsidR="005367FB" w:rsidRPr="007E0DFD" w:rsidRDefault="005367FB" w:rsidP="005367FB">
      <w:pPr>
        <w:rPr>
          <w:lang w:val="fr-FR"/>
        </w:rPr>
      </w:pPr>
    </w:p>
    <w:p w14:paraId="34AD18C3" w14:textId="77777777" w:rsidR="007E0DFD" w:rsidRPr="005367FB" w:rsidRDefault="007E0DFD" w:rsidP="005367FB">
      <w:pPr>
        <w:rPr>
          <w:lang w:val="fr-FR"/>
        </w:rPr>
      </w:pPr>
    </w:p>
    <w:sectPr w:rsidR="007E0DFD" w:rsidRPr="005367FB" w:rsidSect="007E0D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C63A" w14:textId="77777777" w:rsidR="00F00911" w:rsidRDefault="00F00911" w:rsidP="007E0DFD">
      <w:r>
        <w:separator/>
      </w:r>
    </w:p>
  </w:endnote>
  <w:endnote w:type="continuationSeparator" w:id="0">
    <w:p w14:paraId="43663430" w14:textId="77777777" w:rsidR="00F00911" w:rsidRDefault="00F00911" w:rsidP="007E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A4D0" w14:textId="77777777" w:rsidR="00F00911" w:rsidRDefault="00F00911" w:rsidP="007E0DFD">
      <w:r>
        <w:separator/>
      </w:r>
    </w:p>
  </w:footnote>
  <w:footnote w:type="continuationSeparator" w:id="0">
    <w:p w14:paraId="1BBF4797" w14:textId="77777777" w:rsidR="00F00911" w:rsidRDefault="00F00911" w:rsidP="007E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457"/>
    <w:multiLevelType w:val="hybridMultilevel"/>
    <w:tmpl w:val="0A26A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30F"/>
    <w:multiLevelType w:val="hybridMultilevel"/>
    <w:tmpl w:val="16C87982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2339"/>
    <w:multiLevelType w:val="hybridMultilevel"/>
    <w:tmpl w:val="E76E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0D6"/>
    <w:multiLevelType w:val="hybridMultilevel"/>
    <w:tmpl w:val="93967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3850">
    <w:abstractNumId w:val="3"/>
  </w:num>
  <w:num w:numId="2" w16cid:durableId="998390563">
    <w:abstractNumId w:val="1"/>
  </w:num>
  <w:num w:numId="3" w16cid:durableId="1572305159">
    <w:abstractNumId w:val="4"/>
  </w:num>
  <w:num w:numId="4" w16cid:durableId="1560822457">
    <w:abstractNumId w:val="2"/>
  </w:num>
  <w:num w:numId="5" w16cid:durableId="124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FD"/>
    <w:rsid w:val="000B54FD"/>
    <w:rsid w:val="000E3ADF"/>
    <w:rsid w:val="000E6B98"/>
    <w:rsid w:val="00184044"/>
    <w:rsid w:val="001B06EB"/>
    <w:rsid w:val="00234AAC"/>
    <w:rsid w:val="00352779"/>
    <w:rsid w:val="003A7BAA"/>
    <w:rsid w:val="005367FB"/>
    <w:rsid w:val="007360BB"/>
    <w:rsid w:val="007D475A"/>
    <w:rsid w:val="007E0DFD"/>
    <w:rsid w:val="00874A80"/>
    <w:rsid w:val="0087709D"/>
    <w:rsid w:val="008806F7"/>
    <w:rsid w:val="00925B47"/>
    <w:rsid w:val="009D5F3C"/>
    <w:rsid w:val="009F4ACC"/>
    <w:rsid w:val="00AE4754"/>
    <w:rsid w:val="00B10D0B"/>
    <w:rsid w:val="00BB5731"/>
    <w:rsid w:val="00C45971"/>
    <w:rsid w:val="00D33F4F"/>
    <w:rsid w:val="00E376DD"/>
    <w:rsid w:val="00F00911"/>
    <w:rsid w:val="00F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0D25"/>
  <w15:docId w15:val="{A790529A-A3C2-4AB7-854A-7EB668AD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FD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E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DF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7E0D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0DFD"/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</w:style>
  <w:style w:type="character" w:styleId="FootnoteReference">
    <w:name w:val="footnote reference"/>
    <w:basedOn w:val="DefaultParagraphFont"/>
    <w:semiHidden/>
    <w:rsid w:val="007E0D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E0D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bertwil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xDBojxnKA&amp;t=272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2025-01-13T20:19:00Z</dcterms:created>
  <dcterms:modified xsi:type="dcterms:W3CDTF">2025-01-13T20:19:00Z</dcterms:modified>
</cp:coreProperties>
</file>