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D243" w14:textId="3FF4A203" w:rsidR="002B76E1" w:rsidRPr="00034A64" w:rsidRDefault="0045750B" w:rsidP="00034A64">
      <w:pPr>
        <w:spacing w:after="0"/>
        <w:jc w:val="center"/>
        <w:rPr>
          <w:b/>
          <w:bCs/>
          <w:color w:val="C00000"/>
          <w:lang w:val="el-GR"/>
        </w:rPr>
      </w:pPr>
      <w:r w:rsidRPr="00034A64">
        <w:rPr>
          <w:b/>
          <w:bCs/>
          <w:color w:val="C00000"/>
          <w:lang w:val="el-GR"/>
        </w:rPr>
        <w:t>Κριτική Ανάλυση Παραστάσεων</w:t>
      </w:r>
    </w:p>
    <w:p w14:paraId="1A9277C5" w14:textId="65DB75E2" w:rsidR="0045750B" w:rsidRPr="00034A64" w:rsidRDefault="0045750B" w:rsidP="00034A64">
      <w:pPr>
        <w:spacing w:after="0"/>
        <w:jc w:val="center"/>
        <w:rPr>
          <w:b/>
          <w:bCs/>
          <w:color w:val="C00000"/>
          <w:lang w:val="el-GR"/>
        </w:rPr>
      </w:pPr>
      <w:r w:rsidRPr="00034A64">
        <w:rPr>
          <w:b/>
          <w:bCs/>
          <w:color w:val="C00000"/>
          <w:lang w:val="el-GR"/>
        </w:rPr>
        <w:t>Εαρινό Εξάμηνο 2025</w:t>
      </w:r>
    </w:p>
    <w:p w14:paraId="3716E3CA" w14:textId="1ED86195" w:rsidR="0045750B" w:rsidRPr="00034A64" w:rsidRDefault="0045750B" w:rsidP="00034A64">
      <w:pPr>
        <w:spacing w:after="0"/>
        <w:jc w:val="center"/>
        <w:rPr>
          <w:b/>
          <w:bCs/>
          <w:color w:val="C00000"/>
          <w:lang w:val="el-GR"/>
        </w:rPr>
      </w:pPr>
      <w:r w:rsidRPr="00034A64">
        <w:rPr>
          <w:b/>
          <w:bCs/>
          <w:color w:val="C00000"/>
          <w:lang w:val="el-GR"/>
        </w:rPr>
        <w:t>Διδάσκουσα: Μαρίνα Κοτζαμάνη</w:t>
      </w:r>
    </w:p>
    <w:p w14:paraId="4946D445" w14:textId="77777777" w:rsidR="0045750B" w:rsidRPr="006A1D4C" w:rsidRDefault="0045750B">
      <w:pPr>
        <w:rPr>
          <w:lang w:val="el-GR"/>
        </w:rPr>
      </w:pPr>
    </w:p>
    <w:p w14:paraId="0B92D313" w14:textId="77777777" w:rsidR="00034A64" w:rsidRPr="005B6862" w:rsidRDefault="00034A64" w:rsidP="00034A64">
      <w:pPr>
        <w:spacing w:after="0"/>
        <w:rPr>
          <w:lang w:val="el-GR"/>
        </w:rPr>
      </w:pPr>
    </w:p>
    <w:p w14:paraId="64C803D6" w14:textId="49C0FC10" w:rsidR="0045750B" w:rsidRPr="006A1D4C" w:rsidRDefault="0045750B" w:rsidP="00034A64">
      <w:pPr>
        <w:spacing w:after="0"/>
        <w:rPr>
          <w:lang w:val="el-GR"/>
        </w:rPr>
      </w:pPr>
      <w:r w:rsidRPr="006A1D4C">
        <w:rPr>
          <w:lang w:val="el-GR"/>
        </w:rPr>
        <w:t>Τρίτη 3-6 μ.μ. Αίθουσα Ισογείου</w:t>
      </w:r>
    </w:p>
    <w:p w14:paraId="0157DF0A" w14:textId="77777777" w:rsidR="00034A64" w:rsidRPr="005B6862" w:rsidRDefault="0045750B" w:rsidP="00034A64">
      <w:pPr>
        <w:spacing w:after="0"/>
        <w:rPr>
          <w:lang w:val="el-GR"/>
        </w:rPr>
      </w:pPr>
      <w:r w:rsidRPr="006A1D4C">
        <w:rPr>
          <w:lang w:val="el-GR"/>
        </w:rPr>
        <w:t>Ώρες γραφείου</w:t>
      </w:r>
      <w:r w:rsidRPr="0045750B">
        <w:rPr>
          <w:lang w:val="el-GR"/>
        </w:rPr>
        <w:t xml:space="preserve">: </w:t>
      </w:r>
      <w:r w:rsidR="00034A64" w:rsidRPr="005B6862">
        <w:rPr>
          <w:lang w:val="el-GR"/>
        </w:rPr>
        <w:t xml:space="preserve">Τρ. 6.00-7.00 μ.μ. </w:t>
      </w:r>
    </w:p>
    <w:p w14:paraId="0490B8AE" w14:textId="0C03BF23" w:rsidR="0045750B" w:rsidRPr="005B6862" w:rsidRDefault="00034A64" w:rsidP="00034A64">
      <w:pPr>
        <w:spacing w:after="0"/>
        <w:rPr>
          <w:lang w:val="el-GR"/>
        </w:rPr>
      </w:pPr>
      <w:r w:rsidRPr="005B6862">
        <w:rPr>
          <w:lang w:val="el-GR"/>
        </w:rPr>
        <w:t xml:space="preserve">Και </w:t>
      </w:r>
      <w:r w:rsidR="0045750B" w:rsidRPr="006A1D4C">
        <w:rPr>
          <w:lang w:val="el-GR"/>
        </w:rPr>
        <w:t xml:space="preserve">Τε. </w:t>
      </w:r>
      <w:r w:rsidR="005B6862" w:rsidRPr="005B6862">
        <w:rPr>
          <w:lang w:val="el-GR"/>
        </w:rPr>
        <w:t>11-12</w:t>
      </w:r>
      <w:r w:rsidR="0045750B" w:rsidRPr="006A1D4C">
        <w:rPr>
          <w:lang w:val="el-GR"/>
        </w:rPr>
        <w:t xml:space="preserve"> μ.μ.</w:t>
      </w:r>
      <w:r w:rsidRPr="005B6862">
        <w:rPr>
          <w:lang w:val="el-GR"/>
        </w:rPr>
        <w:t xml:space="preserve"> ή κατόπιν ραντεβού</w:t>
      </w:r>
    </w:p>
    <w:p w14:paraId="7774C8A2" w14:textId="41D4044A" w:rsidR="0045750B" w:rsidRPr="006A1D4C" w:rsidRDefault="0045750B" w:rsidP="00034A64">
      <w:pPr>
        <w:spacing w:after="0"/>
        <w:rPr>
          <w:lang w:val="el-GR"/>
        </w:rPr>
      </w:pPr>
      <w:r w:rsidRPr="006A1D4C">
        <w:rPr>
          <w:lang w:val="el-GR"/>
        </w:rPr>
        <w:t>Ισόγειο, Κεντρικά Διδακτήρια</w:t>
      </w:r>
    </w:p>
    <w:p w14:paraId="32DA5F66" w14:textId="77B30672" w:rsidR="0045750B" w:rsidRPr="006A1D4C" w:rsidRDefault="0045750B" w:rsidP="00034A64">
      <w:pPr>
        <w:spacing w:after="0"/>
        <w:rPr>
          <w:lang w:val="el-GR"/>
        </w:rPr>
      </w:pPr>
      <w:hyperlink r:id="rId8" w:history="1">
        <w:r w:rsidRPr="00CD7FD6">
          <w:rPr>
            <w:rStyle w:val="Hyperlink"/>
          </w:rPr>
          <w:t>kotzaman</w:t>
        </w:r>
        <w:r w:rsidRPr="006A1D4C">
          <w:rPr>
            <w:rStyle w:val="Hyperlink"/>
            <w:lang w:val="el-GR"/>
          </w:rPr>
          <w:t>@</w:t>
        </w:r>
        <w:r w:rsidRPr="00CD7FD6">
          <w:rPr>
            <w:rStyle w:val="Hyperlink"/>
          </w:rPr>
          <w:t>uop</w:t>
        </w:r>
        <w:r w:rsidRPr="006A1D4C">
          <w:rPr>
            <w:rStyle w:val="Hyperlink"/>
            <w:lang w:val="el-GR"/>
          </w:rPr>
          <w:t>.</w:t>
        </w:r>
        <w:r w:rsidRPr="00CD7FD6">
          <w:rPr>
            <w:rStyle w:val="Hyperlink"/>
          </w:rPr>
          <w:t>gr</w:t>
        </w:r>
      </w:hyperlink>
    </w:p>
    <w:p w14:paraId="380155A1" w14:textId="77777777" w:rsidR="0045750B" w:rsidRPr="006A1D4C" w:rsidRDefault="0045750B">
      <w:pPr>
        <w:rPr>
          <w:lang w:val="el-GR"/>
        </w:rPr>
      </w:pPr>
    </w:p>
    <w:p w14:paraId="0D5BD414" w14:textId="0E8CA465" w:rsidR="0045750B" w:rsidRPr="00034A64" w:rsidRDefault="0045750B">
      <w:pPr>
        <w:rPr>
          <w:b/>
          <w:bCs/>
          <w:color w:val="153D63" w:themeColor="text2" w:themeTint="E6"/>
          <w:lang w:val="el-GR"/>
        </w:rPr>
      </w:pPr>
      <w:r w:rsidRPr="00034A64">
        <w:rPr>
          <w:b/>
          <w:bCs/>
          <w:color w:val="153D63" w:themeColor="text2" w:themeTint="E6"/>
          <w:lang w:val="el-GR"/>
        </w:rPr>
        <w:t>Περιγραφή μαθήματος</w:t>
      </w:r>
    </w:p>
    <w:p w14:paraId="52953256" w14:textId="284CF255" w:rsidR="0045750B" w:rsidRPr="0045750B" w:rsidRDefault="0045750B" w:rsidP="00034A64">
      <w:pPr>
        <w:spacing w:line="288" w:lineRule="auto"/>
        <w:ind w:right="254"/>
        <w:jc w:val="both"/>
        <w:rPr>
          <w:rFonts w:eastAsia="Calibri" w:cs="Calibri"/>
          <w:bCs/>
          <w:lang w:val="el-GR"/>
        </w:rPr>
      </w:pPr>
      <w:r w:rsidRPr="0045750B">
        <w:rPr>
          <w:rFonts w:eastAsia="Calibri" w:cs="Calibri"/>
          <w:lang w:val="el-GR"/>
        </w:rPr>
        <w:t>Με επίκεντρο το σύγχρονο θέατρο</w:t>
      </w:r>
      <w:r w:rsidR="00034A64" w:rsidRPr="005B6862">
        <w:rPr>
          <w:rFonts w:eastAsia="Calibri" w:cs="Calibri"/>
          <w:lang w:val="el-GR"/>
        </w:rPr>
        <w:t>,</w:t>
      </w:r>
      <w:r w:rsidRPr="0045750B">
        <w:rPr>
          <w:rFonts w:eastAsia="Calibri" w:cs="Calibri"/>
          <w:lang w:val="el-GR"/>
        </w:rPr>
        <w:t xml:space="preserve"> το μάθημα ευαισθητοποιεί τους φοιτητές ως προς το πώς να διαβάζουν μια θεατρική παράσταση. Επίσης τους εισάγει στις ετερόκλητες σκηνοθετικές προσεγγίσεις που διακρίνουν το σύγχρονο θέατρο με παραδείγματα από τον ελληνικό και τον διεθνή χώρο, που συμπεριλαμβάνουν καλλιτέχνες όπως ο Ρ. Ουίλσον (</w:t>
      </w:r>
      <w:r w:rsidRPr="0045750B">
        <w:rPr>
          <w:rFonts w:eastAsia="Calibri" w:cs="Calibri"/>
        </w:rPr>
        <w:t>R</w:t>
      </w:r>
      <w:r w:rsidRPr="0045750B">
        <w:rPr>
          <w:rFonts w:eastAsia="Calibri" w:cs="Calibri"/>
          <w:lang w:val="el-GR"/>
        </w:rPr>
        <w:t xml:space="preserve">. </w:t>
      </w:r>
      <w:r w:rsidRPr="0045750B">
        <w:rPr>
          <w:rFonts w:eastAsia="Calibri" w:cs="Calibri"/>
        </w:rPr>
        <w:t>Wilson</w:t>
      </w:r>
      <w:r w:rsidRPr="0045750B">
        <w:rPr>
          <w:rFonts w:eastAsia="Calibri" w:cs="Calibri"/>
          <w:lang w:val="el-GR"/>
        </w:rPr>
        <w:t xml:space="preserve">), </w:t>
      </w:r>
      <w:r w:rsidRPr="0045750B">
        <w:rPr>
          <w:rFonts w:eastAsia="Calibri" w:cs="Calibri"/>
        </w:rPr>
        <w:t>o</w:t>
      </w:r>
      <w:r w:rsidRPr="0045750B">
        <w:rPr>
          <w:rFonts w:eastAsia="Calibri" w:cs="Calibri"/>
          <w:lang w:val="el-GR"/>
        </w:rPr>
        <w:t xml:space="preserve"> Τ. Σουζούκι (</w:t>
      </w:r>
      <w:r w:rsidRPr="0045750B">
        <w:rPr>
          <w:rFonts w:eastAsia="Calibri" w:cs="Calibri"/>
        </w:rPr>
        <w:t>T</w:t>
      </w:r>
      <w:r w:rsidRPr="0045750B">
        <w:rPr>
          <w:rFonts w:eastAsia="Calibri" w:cs="Calibri"/>
          <w:lang w:val="el-GR"/>
        </w:rPr>
        <w:t xml:space="preserve">. </w:t>
      </w:r>
      <w:r w:rsidRPr="0045750B">
        <w:rPr>
          <w:rFonts w:eastAsia="Calibri" w:cs="Calibri"/>
        </w:rPr>
        <w:t>Suzuki</w:t>
      </w:r>
      <w:r w:rsidRPr="0045750B">
        <w:rPr>
          <w:rFonts w:eastAsia="Calibri" w:cs="Calibri"/>
          <w:lang w:val="el-GR"/>
        </w:rPr>
        <w:t xml:space="preserve">), </w:t>
      </w:r>
      <w:r w:rsidRPr="0045750B">
        <w:rPr>
          <w:rFonts w:eastAsia="Calibri" w:cs="Calibri"/>
        </w:rPr>
        <w:t>o</w:t>
      </w:r>
      <w:r w:rsidRPr="0045750B">
        <w:rPr>
          <w:rFonts w:eastAsia="Calibri" w:cs="Calibri"/>
          <w:lang w:val="el-GR"/>
        </w:rPr>
        <w:t xml:space="preserve"> Ιάννης Ξενάκης, και η Σόφι Καλ (</w:t>
      </w:r>
      <w:r w:rsidRPr="0045750B">
        <w:rPr>
          <w:rFonts w:eastAsia="Calibri" w:cs="Calibri"/>
        </w:rPr>
        <w:t>S</w:t>
      </w:r>
      <w:r w:rsidRPr="0045750B">
        <w:rPr>
          <w:rFonts w:eastAsia="Calibri" w:cs="Calibri"/>
          <w:lang w:val="el-GR"/>
        </w:rPr>
        <w:t xml:space="preserve">. </w:t>
      </w:r>
      <w:r w:rsidRPr="0045750B">
        <w:rPr>
          <w:rFonts w:eastAsia="Calibri" w:cs="Calibri"/>
        </w:rPr>
        <w:t>Calle</w:t>
      </w:r>
      <w:r w:rsidRPr="0045750B">
        <w:rPr>
          <w:rFonts w:eastAsia="Calibri" w:cs="Calibri"/>
          <w:lang w:val="el-GR"/>
        </w:rPr>
        <w:t>). Μια παράσταση μπορεί να «υπηρετεί» το κείμενο, να το υπονομεύει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  Ποιος είναι ο ρόλος του κοινού σε μια παράσταση;  Υπάρχει μεγάλη απόσταση ανάμεσα σε παραστάσεις όπου το κοινό είναι παθητικός αποδέκτης και 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Σκοπός του μαθήματος είναι να ενθαρρύνει τους φοιτητές να γνωρίσουν καλύτερα και να συμμετάσχουν στο θεατρικό γίγνεσθαι του καιρού μας</w:t>
      </w:r>
      <w:r w:rsidRPr="0045750B">
        <w:rPr>
          <w:rFonts w:eastAsia="Calibri" w:cs="Calibri"/>
          <w:bCs/>
          <w:lang w:val="el-GR"/>
        </w:rPr>
        <w:t xml:space="preserve">. </w:t>
      </w:r>
    </w:p>
    <w:p w14:paraId="383E4CF7" w14:textId="25CFDB31" w:rsidR="00013350" w:rsidRPr="00013350" w:rsidRDefault="00013350" w:rsidP="00013350">
      <w:pPr>
        <w:pStyle w:val="Heading1"/>
        <w:rPr>
          <w:rFonts w:asciiTheme="minorHAnsi" w:hAnsiTheme="minorHAnsi"/>
          <w:b/>
          <w:sz w:val="24"/>
          <w:szCs w:val="24"/>
          <w:lang w:val="el-GR"/>
        </w:rPr>
      </w:pPr>
      <w:r w:rsidRPr="00013350">
        <w:rPr>
          <w:rFonts w:asciiTheme="minorHAnsi" w:hAnsiTheme="minorHAnsi"/>
          <w:b/>
          <w:sz w:val="24"/>
          <w:szCs w:val="24"/>
          <w:lang w:val="el-GR"/>
        </w:rPr>
        <w:t>Κανονισμοί του μαθήματος</w:t>
      </w:r>
    </w:p>
    <w:p w14:paraId="00F01926" w14:textId="77777777" w:rsidR="000234B7" w:rsidRPr="005B6862" w:rsidRDefault="00013350" w:rsidP="00013350">
      <w:pPr>
        <w:tabs>
          <w:tab w:val="left" w:pos="2960"/>
        </w:tabs>
        <w:jc w:val="both"/>
        <w:rPr>
          <w:lang w:val="el-GR"/>
        </w:rPr>
      </w:pPr>
      <w:r w:rsidRPr="00013350">
        <w:rPr>
          <w:lang w:val="el-GR"/>
        </w:rPr>
        <w:t>Στο μάθημα αυτό απαιτούνται δύο εργασίες, έκτασης 1</w:t>
      </w:r>
      <w:r w:rsidRPr="006A1D4C">
        <w:rPr>
          <w:lang w:val="el-GR"/>
        </w:rPr>
        <w:t>5</w:t>
      </w:r>
      <w:r w:rsidRPr="00013350">
        <w:rPr>
          <w:lang w:val="el-GR"/>
        </w:rPr>
        <w:t xml:space="preserve">00-2000 λέξεις, οι οποίες πρέπει να είναι δακτυλογραφημένες σε διπλό διάστημα.  Επίσης, είναι υποχρεωτική μία προφορική παρουσίαση, στην οποία θα βασιστεί η δεύτερη εργασία, καθώς και μία τελική </w:t>
      </w:r>
      <w:r w:rsidR="00034A64" w:rsidRPr="005B6862">
        <w:rPr>
          <w:lang w:val="el-GR"/>
        </w:rPr>
        <w:t xml:space="preserve">προφορική </w:t>
      </w:r>
      <w:r w:rsidRPr="00013350">
        <w:rPr>
          <w:lang w:val="el-GR"/>
        </w:rPr>
        <w:t>εξέταση.  Το θέμα της πρώτης εργασίας δίδεται από την διδάσκουσα ενώ το θέμα της δεύτερης εργασίας επιλέγεται σε ατομική βάση από τους φοιτητές</w:t>
      </w:r>
      <w:r w:rsidRPr="006A1D4C">
        <w:rPr>
          <w:lang w:val="el-GR"/>
        </w:rPr>
        <w:t>/τριες</w:t>
      </w:r>
      <w:r w:rsidRPr="00013350">
        <w:rPr>
          <w:lang w:val="el-GR"/>
        </w:rPr>
        <w:t xml:space="preserve"> σε συνεννόηση με την διδάσκουσα.  </w:t>
      </w:r>
      <w:r w:rsidR="006F7A17" w:rsidRPr="006A1D4C">
        <w:rPr>
          <w:lang w:val="el-GR"/>
        </w:rPr>
        <w:t xml:space="preserve">Στο μάθημα απαιτούνται επίσης 2 κριτικές αποτιμήσεις παραστάσεων που είδατε δια ζώσης κατά τη διάρκεια του εξαμήνου (300-500 λέξεις έκαστη).  </w:t>
      </w:r>
      <w:r w:rsidRPr="00013350">
        <w:rPr>
          <w:lang w:val="el-GR"/>
        </w:rPr>
        <w:t>Σημαντική είναι επίσης η εβδομαδιαία συμμετοχή των φοιτητών</w:t>
      </w:r>
      <w:r w:rsidRPr="006A1D4C">
        <w:rPr>
          <w:lang w:val="el-GR"/>
        </w:rPr>
        <w:t>/τριων</w:t>
      </w:r>
      <w:r w:rsidRPr="00013350">
        <w:rPr>
          <w:lang w:val="el-GR"/>
        </w:rPr>
        <w:t xml:space="preserve"> στην διεξαγωγή του μαθήματος (έως 20% επιπλέον επί της βαθμολογίας)  Η συμμετοχή στο μάθημα μπορεί να συμπεριλαμβάνει και την ανάληψη ασκήσεων.  </w:t>
      </w:r>
    </w:p>
    <w:p w14:paraId="61EB7E8C" w14:textId="77777777" w:rsidR="000234B7" w:rsidRPr="005B6862" w:rsidRDefault="00013350" w:rsidP="00013350">
      <w:pPr>
        <w:tabs>
          <w:tab w:val="left" w:pos="2960"/>
        </w:tabs>
        <w:jc w:val="both"/>
        <w:rPr>
          <w:lang w:val="el-GR"/>
        </w:rPr>
      </w:pPr>
      <w:r w:rsidRPr="00013350">
        <w:rPr>
          <w:lang w:val="el-GR"/>
        </w:rPr>
        <w:lastRenderedPageBreak/>
        <w:t xml:space="preserve">Η πρώτη εργασία συμβάλει στο </w:t>
      </w:r>
      <w:r w:rsidR="00034A64" w:rsidRPr="005B6862">
        <w:rPr>
          <w:lang w:val="el-GR"/>
        </w:rPr>
        <w:t>25</w:t>
      </w:r>
      <w:r w:rsidRPr="00013350">
        <w:rPr>
          <w:lang w:val="el-GR"/>
        </w:rPr>
        <w:t xml:space="preserve">% της βαθμολογίας ενώ η δεύτερη εργασία, που συμπεριλαμβάνει και την παρουσίαση συμβάλει στο </w:t>
      </w:r>
      <w:r w:rsidR="00034A64" w:rsidRPr="005B6862">
        <w:rPr>
          <w:lang w:val="el-GR"/>
        </w:rPr>
        <w:t>35</w:t>
      </w:r>
      <w:r w:rsidRPr="00013350">
        <w:rPr>
          <w:lang w:val="el-GR"/>
        </w:rPr>
        <w:t>% της βαθμολογίας</w:t>
      </w:r>
      <w:r w:rsidR="00173BBC" w:rsidRPr="006A1D4C">
        <w:rPr>
          <w:lang w:val="el-GR"/>
        </w:rPr>
        <w:t xml:space="preserve">.  </w:t>
      </w:r>
      <w:r w:rsidR="00034A64" w:rsidRPr="005B6862">
        <w:rPr>
          <w:lang w:val="el-GR"/>
        </w:rPr>
        <w:t>Οι δύο κριτικές αποτιμίσεις παραστάσεων λαμβάνουν 20% και η</w:t>
      </w:r>
      <w:r w:rsidRPr="00013350">
        <w:rPr>
          <w:lang w:val="el-GR"/>
        </w:rPr>
        <w:t xml:space="preserve"> τελική εξέταση λαμβάνει </w:t>
      </w:r>
      <w:r w:rsidR="00034A64" w:rsidRPr="005B6862">
        <w:rPr>
          <w:lang w:val="el-GR"/>
        </w:rPr>
        <w:t xml:space="preserve">επίσης </w:t>
      </w:r>
      <w:r w:rsidR="00173BBC" w:rsidRPr="006A1D4C">
        <w:rPr>
          <w:lang w:val="el-GR"/>
        </w:rPr>
        <w:t>20</w:t>
      </w:r>
      <w:r w:rsidRPr="00013350">
        <w:rPr>
          <w:lang w:val="el-GR"/>
        </w:rPr>
        <w:t xml:space="preserve">% της βαθμολογίας. </w:t>
      </w:r>
      <w:r w:rsidR="00034A64" w:rsidRPr="005B6862">
        <w:rPr>
          <w:lang w:val="el-GR"/>
        </w:rPr>
        <w:t xml:space="preserve">  </w:t>
      </w:r>
    </w:p>
    <w:p w14:paraId="3EA4C388" w14:textId="347471D2" w:rsidR="00013350" w:rsidRPr="005B6862" w:rsidRDefault="00034A64" w:rsidP="00013350">
      <w:pPr>
        <w:tabs>
          <w:tab w:val="left" w:pos="2960"/>
        </w:tabs>
        <w:jc w:val="both"/>
        <w:rPr>
          <w:lang w:val="el-GR"/>
        </w:rPr>
      </w:pPr>
      <w:r w:rsidRPr="005B6862">
        <w:rPr>
          <w:b/>
          <w:bCs/>
          <w:color w:val="153D63" w:themeColor="text2" w:themeTint="E6"/>
          <w:lang w:val="el-GR"/>
        </w:rPr>
        <w:t>Σημαντική επισήμανση</w:t>
      </w:r>
      <w:r w:rsidRPr="00034A64">
        <w:rPr>
          <w:lang w:val="el-GR"/>
        </w:rPr>
        <w:t xml:space="preserve">: </w:t>
      </w:r>
      <w:r w:rsidRPr="005B6862">
        <w:rPr>
          <w:lang w:val="el-GR"/>
        </w:rPr>
        <w:t xml:space="preserve">Θα πρέπει να έχετε λάβει βαθμολογία τουλάχιστον 5 στην τελική εξέταση για να ληφθούν υπ’όψιν </w:t>
      </w:r>
      <w:r w:rsidR="000234B7" w:rsidRPr="005B6862">
        <w:rPr>
          <w:lang w:val="el-GR"/>
        </w:rPr>
        <w:t>στημ αξιολόγησή σας όλες οι υπόλοιπες εργασίες που απαιτούνται στο μάθημα.</w:t>
      </w:r>
    </w:p>
    <w:p w14:paraId="51EE1F95" w14:textId="77777777" w:rsidR="00013350" w:rsidRPr="00013350" w:rsidRDefault="00013350" w:rsidP="000234B7">
      <w:pPr>
        <w:jc w:val="both"/>
        <w:rPr>
          <w:lang w:val="el-GR"/>
        </w:rPr>
      </w:pPr>
      <w:r w:rsidRPr="00013350">
        <w:rPr>
          <w:lang w:val="el-GR"/>
        </w:rPr>
        <w:t>Δεν θα γίνονται δεκτές καθυστερημένες εργασίες, καθώς και εργασίες των οποίων το θέμα δεν έχω εγκρίνει.  Στις εργασίες αναφέρετε τις πηγές σας σε υποσημειώσεις και συμπεριλαμβάνετε βιβλιογραφία.  Με ενδιαφέρει κυρίως να διαπιστώσω εάν οι εξεταζόμενες/οι είναι σε θέση να συζητήσουν τις παραστάσεις με κριτική διάθεση.  Εκτιμώ ιδιαίτερα την πρωτοτυπία στην σκέψη και την ικανότητα να κάνουν οι φοιτήτριες/ες γόνιμες συγκρίσεις ανάμεσα σε παραστάσεις.</w:t>
      </w:r>
    </w:p>
    <w:p w14:paraId="723003E0" w14:textId="77777777" w:rsidR="00013350" w:rsidRPr="00013350" w:rsidRDefault="00013350" w:rsidP="00013350">
      <w:pPr>
        <w:rPr>
          <w:lang w:val="el-GR"/>
        </w:rPr>
      </w:pPr>
      <w:r w:rsidRPr="00013350">
        <w:rPr>
          <w:lang w:val="el-GR"/>
        </w:rPr>
        <w:t>Εργασίες με αντιγραφές θα μηδενίζονται και η αντιγραφή θα έχει ως συνέπεια το να αποτυγχάνει ο/η φοιτητής/τρια να περάσει το μάθημα συνολικά.</w:t>
      </w:r>
    </w:p>
    <w:p w14:paraId="1260645B" w14:textId="77777777" w:rsidR="000947BA" w:rsidRPr="006A1D4C" w:rsidRDefault="000947BA" w:rsidP="000947BA">
      <w:pPr>
        <w:widowControl w:val="0"/>
        <w:jc w:val="both"/>
        <w:rPr>
          <w:b/>
          <w:lang w:val="el-GR"/>
        </w:rPr>
      </w:pPr>
    </w:p>
    <w:p w14:paraId="121588CB" w14:textId="16F6AC43" w:rsidR="000947BA" w:rsidRPr="006A1D4C" w:rsidRDefault="000947BA" w:rsidP="000947BA">
      <w:pPr>
        <w:widowControl w:val="0"/>
        <w:jc w:val="both"/>
        <w:rPr>
          <w:b/>
          <w:lang w:val="el-GR"/>
        </w:rPr>
      </w:pPr>
      <w:r w:rsidRPr="000234B7">
        <w:rPr>
          <w:b/>
          <w:color w:val="C00000"/>
          <w:lang w:val="el-GR"/>
        </w:rPr>
        <w:t>Πρόγραμμα Μαθημάτων</w:t>
      </w:r>
      <w:r w:rsidRPr="000234B7">
        <w:rPr>
          <w:rStyle w:val="FootnoteReference"/>
          <w:color w:val="C00000"/>
        </w:rPr>
        <w:footnoteReference w:id="1"/>
      </w:r>
    </w:p>
    <w:p w14:paraId="5F2D9B14" w14:textId="77777777" w:rsidR="000947BA" w:rsidRPr="000234B7" w:rsidRDefault="000947BA" w:rsidP="000947BA">
      <w:pPr>
        <w:widowControl w:val="0"/>
        <w:jc w:val="both"/>
        <w:rPr>
          <w:color w:val="153D63" w:themeColor="text2" w:themeTint="E6"/>
          <w:lang w:val="el-GR"/>
        </w:rPr>
      </w:pPr>
      <w:r w:rsidRPr="000947BA">
        <w:rPr>
          <w:lang w:val="el-GR"/>
        </w:rPr>
        <w:t xml:space="preserve">1. 2. 3. </w:t>
      </w:r>
      <w:r w:rsidRPr="000947BA">
        <w:rPr>
          <w:b/>
          <w:lang w:val="el-GR"/>
        </w:rPr>
        <w:t xml:space="preserve"> </w:t>
      </w:r>
      <w:r w:rsidRPr="000234B7">
        <w:rPr>
          <w:b/>
          <w:bCs/>
          <w:color w:val="153D63" w:themeColor="text2" w:themeTint="E6"/>
          <w:lang w:val="el-GR"/>
        </w:rPr>
        <w:t>Εισαγωγή</w:t>
      </w:r>
    </w:p>
    <w:p w14:paraId="73A3251B" w14:textId="77777777" w:rsidR="000947BA" w:rsidRPr="000234B7" w:rsidRDefault="000947BA" w:rsidP="000234B7">
      <w:pPr>
        <w:widowControl w:val="0"/>
        <w:spacing w:after="0" w:line="276" w:lineRule="auto"/>
        <w:ind w:left="720"/>
        <w:jc w:val="both"/>
        <w:rPr>
          <w:lang w:val="el-GR"/>
        </w:rPr>
      </w:pPr>
      <w:r w:rsidRPr="000234B7">
        <w:t>P</w:t>
      </w:r>
      <w:r w:rsidRPr="000234B7">
        <w:rPr>
          <w:lang w:val="el-GR"/>
        </w:rPr>
        <w:t xml:space="preserve">. </w:t>
      </w:r>
      <w:r w:rsidRPr="000234B7">
        <w:t>Pavis</w:t>
      </w:r>
      <w:r w:rsidRPr="000234B7">
        <w:rPr>
          <w:lang w:val="el-GR"/>
        </w:rPr>
        <w:t>, Λεξικό του θεάτρου (επιλογές)</w:t>
      </w:r>
    </w:p>
    <w:p w14:paraId="4DAF6D99" w14:textId="103B3878" w:rsidR="000947BA" w:rsidRPr="006A1D4C" w:rsidRDefault="000947BA" w:rsidP="000234B7">
      <w:pPr>
        <w:widowControl w:val="0"/>
        <w:spacing w:after="0" w:line="276" w:lineRule="auto"/>
        <w:ind w:left="720"/>
        <w:jc w:val="both"/>
        <w:rPr>
          <w:lang w:val="el-GR"/>
        </w:rPr>
      </w:pPr>
      <w:r w:rsidRPr="000234B7">
        <w:rPr>
          <w:lang w:val="el-GR"/>
        </w:rPr>
        <w:t xml:space="preserve">Ε. Βαροπούλου, «Προς μια νέα συνείδηση του χρόνου και του βλέμματος» και «Το λυκόφως των μεγάλων σκηνοθετών» στο </w:t>
      </w:r>
      <w:r w:rsidRPr="000234B7">
        <w:rPr>
          <w:i/>
          <w:lang w:val="el-GR"/>
        </w:rPr>
        <w:t>Ζωντανό θέατρο</w:t>
      </w:r>
      <w:r w:rsidRPr="000234B7">
        <w:rPr>
          <w:lang w:val="el-GR"/>
        </w:rPr>
        <w:t xml:space="preserve"> 17-52.</w:t>
      </w:r>
    </w:p>
    <w:p w14:paraId="27832CD1" w14:textId="77777777" w:rsidR="008F508F" w:rsidRPr="006A1D4C" w:rsidRDefault="008F508F" w:rsidP="008F508F">
      <w:pPr>
        <w:widowControl w:val="0"/>
        <w:spacing w:after="0" w:line="240" w:lineRule="auto"/>
        <w:ind w:left="720"/>
        <w:jc w:val="both"/>
        <w:rPr>
          <w:lang w:val="el-GR"/>
        </w:rPr>
      </w:pPr>
    </w:p>
    <w:p w14:paraId="2BFE09A5" w14:textId="441091B1" w:rsidR="003D63D0" w:rsidRPr="000234B7" w:rsidRDefault="00613BE0" w:rsidP="003D63D0">
      <w:pPr>
        <w:pStyle w:val="ListParagraph"/>
        <w:widowControl w:val="0"/>
        <w:spacing w:line="276" w:lineRule="auto"/>
        <w:ind w:left="0" w:firstLine="720"/>
        <w:jc w:val="both"/>
        <w:rPr>
          <w:b/>
          <w:bCs/>
          <w:color w:val="153D63" w:themeColor="text2" w:themeTint="E6"/>
        </w:rPr>
      </w:pPr>
      <w:r w:rsidRPr="000234B7">
        <w:rPr>
          <w:b/>
          <w:bCs/>
          <w:color w:val="153D63" w:themeColor="text2" w:themeTint="E6"/>
        </w:rPr>
        <w:t>Sophie Calle, “Prenez Soin de Vous” και Emily Jacir “Where we come from”</w:t>
      </w:r>
    </w:p>
    <w:p w14:paraId="7EE03B35" w14:textId="77777777" w:rsidR="00613BE0" w:rsidRDefault="00613BE0" w:rsidP="00613BE0">
      <w:pPr>
        <w:pStyle w:val="ListParagraph"/>
        <w:widowControl w:val="0"/>
        <w:spacing w:line="276" w:lineRule="auto"/>
        <w:ind w:left="0"/>
        <w:jc w:val="both"/>
      </w:pPr>
      <w:r>
        <w:tab/>
        <w:t xml:space="preserve">E. Jacir, “Where we come from” </w:t>
      </w:r>
      <w:r w:rsidRPr="00972AA9">
        <w:rPr>
          <w:i/>
        </w:rPr>
        <w:t>Grand Street</w:t>
      </w:r>
      <w:r>
        <w:t xml:space="preserve"> 72 </w:t>
      </w:r>
      <w:r w:rsidRPr="00972AA9">
        <w:rPr>
          <w:i/>
        </w:rPr>
        <w:t>Detours</w:t>
      </w:r>
      <w:r>
        <w:t xml:space="preserve"> (2003), σ</w:t>
      </w:r>
      <w:r w:rsidRPr="00972AA9">
        <w:t>. 95-105.</w:t>
      </w:r>
    </w:p>
    <w:p w14:paraId="4A72AF6B" w14:textId="6780D9B4" w:rsidR="00E076EB" w:rsidRPr="006A1D4C" w:rsidRDefault="00E076EB" w:rsidP="00E076EB">
      <w:pPr>
        <w:pStyle w:val="ListParagraph"/>
        <w:widowControl w:val="0"/>
        <w:spacing w:line="276" w:lineRule="auto"/>
        <w:jc w:val="both"/>
        <w:rPr>
          <w:lang w:val="el-GR"/>
        </w:rPr>
      </w:pPr>
      <w:r>
        <w:t>Sophie</w:t>
      </w:r>
      <w:r w:rsidRPr="00E076EB">
        <w:rPr>
          <w:lang w:val="el-GR"/>
        </w:rPr>
        <w:t xml:space="preserve"> </w:t>
      </w:r>
      <w:r>
        <w:t>Calle</w:t>
      </w:r>
      <w:r w:rsidRPr="00E076EB">
        <w:rPr>
          <w:lang w:val="el-GR"/>
        </w:rPr>
        <w:t xml:space="preserve">, </w:t>
      </w:r>
      <w:r w:rsidRPr="006A1D4C">
        <w:rPr>
          <w:lang w:val="el-GR"/>
        </w:rPr>
        <w:t xml:space="preserve">σχετικά με το </w:t>
      </w:r>
      <w:r>
        <w:t>Take</w:t>
      </w:r>
      <w:r w:rsidRPr="00E076EB">
        <w:rPr>
          <w:lang w:val="el-GR"/>
        </w:rPr>
        <w:t xml:space="preserve"> </w:t>
      </w:r>
      <w:r>
        <w:t>Care</w:t>
      </w:r>
      <w:r w:rsidRPr="00E076EB">
        <w:rPr>
          <w:lang w:val="el-GR"/>
        </w:rPr>
        <w:t xml:space="preserve"> </w:t>
      </w:r>
      <w:r>
        <w:t>of</w:t>
      </w:r>
      <w:r w:rsidRPr="00E076EB">
        <w:rPr>
          <w:lang w:val="el-GR"/>
        </w:rPr>
        <w:t xml:space="preserve"> </w:t>
      </w:r>
      <w:r>
        <w:t>Yourself</w:t>
      </w:r>
      <w:r w:rsidRPr="006A1D4C">
        <w:rPr>
          <w:lang w:val="el-GR"/>
        </w:rPr>
        <w:t xml:space="preserve">, σε συνάντηση ψυχοθεραπείας στο </w:t>
      </w:r>
      <w:hyperlink r:id="rId9" w:history="1">
        <w:r w:rsidRPr="00CD7FD6">
          <w:rPr>
            <w:rStyle w:val="Hyperlink"/>
          </w:rPr>
          <w:t>https</w:t>
        </w:r>
        <w:r w:rsidRPr="006A1D4C">
          <w:rPr>
            <w:rStyle w:val="Hyperlink"/>
            <w:lang w:val="el-GR"/>
          </w:rPr>
          <w:t>://</w:t>
        </w:r>
        <w:r w:rsidRPr="00CD7FD6">
          <w:rPr>
            <w:rStyle w:val="Hyperlink"/>
          </w:rPr>
          <w:t>www</w:t>
        </w:r>
        <w:r w:rsidRPr="006A1D4C">
          <w:rPr>
            <w:rStyle w:val="Hyperlink"/>
            <w:lang w:val="el-GR"/>
          </w:rPr>
          <w:t>.</w:t>
        </w:r>
        <w:r w:rsidRPr="00CD7FD6">
          <w:rPr>
            <w:rStyle w:val="Hyperlink"/>
          </w:rPr>
          <w:t>youtube</w:t>
        </w:r>
        <w:r w:rsidRPr="006A1D4C">
          <w:rPr>
            <w:rStyle w:val="Hyperlink"/>
            <w:lang w:val="el-GR"/>
          </w:rPr>
          <w:t>.</w:t>
        </w:r>
        <w:r w:rsidRPr="00CD7FD6">
          <w:rPr>
            <w:rStyle w:val="Hyperlink"/>
          </w:rPr>
          <w:t>com</w:t>
        </w:r>
        <w:r w:rsidRPr="006A1D4C">
          <w:rPr>
            <w:rStyle w:val="Hyperlink"/>
            <w:lang w:val="el-GR"/>
          </w:rPr>
          <w:t>/</w:t>
        </w:r>
        <w:r w:rsidRPr="00CD7FD6">
          <w:rPr>
            <w:rStyle w:val="Hyperlink"/>
          </w:rPr>
          <w:t>watch</w:t>
        </w:r>
        <w:r w:rsidRPr="006A1D4C">
          <w:rPr>
            <w:rStyle w:val="Hyperlink"/>
            <w:lang w:val="el-GR"/>
          </w:rPr>
          <w:t>?</w:t>
        </w:r>
        <w:r w:rsidRPr="00CD7FD6">
          <w:rPr>
            <w:rStyle w:val="Hyperlink"/>
          </w:rPr>
          <w:t>v</w:t>
        </w:r>
        <w:r w:rsidRPr="006A1D4C">
          <w:rPr>
            <w:rStyle w:val="Hyperlink"/>
            <w:lang w:val="el-GR"/>
          </w:rPr>
          <w:t>=</w:t>
        </w:r>
        <w:r w:rsidRPr="00CD7FD6">
          <w:rPr>
            <w:rStyle w:val="Hyperlink"/>
          </w:rPr>
          <w:t>bhhY</w:t>
        </w:r>
        <w:r w:rsidRPr="006A1D4C">
          <w:rPr>
            <w:rStyle w:val="Hyperlink"/>
            <w:lang w:val="el-GR"/>
          </w:rPr>
          <w:t>6</w:t>
        </w:r>
        <w:r w:rsidRPr="00CD7FD6">
          <w:rPr>
            <w:rStyle w:val="Hyperlink"/>
          </w:rPr>
          <w:t>fuN</w:t>
        </w:r>
        <w:r w:rsidRPr="006A1D4C">
          <w:rPr>
            <w:rStyle w:val="Hyperlink"/>
            <w:lang w:val="el-GR"/>
          </w:rPr>
          <w:t>_</w:t>
        </w:r>
        <w:r w:rsidRPr="00CD7FD6">
          <w:rPr>
            <w:rStyle w:val="Hyperlink"/>
          </w:rPr>
          <w:t>i</w:t>
        </w:r>
        <w:r w:rsidRPr="006A1D4C">
          <w:rPr>
            <w:rStyle w:val="Hyperlink"/>
            <w:lang w:val="el-GR"/>
          </w:rPr>
          <w:t>4&amp;</w:t>
        </w:r>
        <w:r w:rsidRPr="00CD7FD6">
          <w:rPr>
            <w:rStyle w:val="Hyperlink"/>
          </w:rPr>
          <w:t>list</w:t>
        </w:r>
      </w:hyperlink>
    </w:p>
    <w:p w14:paraId="485C0B76" w14:textId="1933C004" w:rsidR="003D63D0" w:rsidRPr="00E076EB" w:rsidRDefault="00E076EB" w:rsidP="00E076EB">
      <w:pPr>
        <w:spacing w:line="276" w:lineRule="auto"/>
        <w:ind w:left="720"/>
        <w:rPr>
          <w:lang w:val="el-GR"/>
        </w:rPr>
      </w:pPr>
      <w:r>
        <w:rPr>
          <w:lang w:val="el-GR"/>
        </w:rPr>
        <w:t xml:space="preserve">Μ. Κοτζαμάνη, </w:t>
      </w:r>
      <w:r w:rsidR="003D63D0" w:rsidRPr="003D63D0">
        <w:rPr>
          <w:lang w:val="el-GR"/>
        </w:rPr>
        <w:t>«</w:t>
      </w:r>
      <w:r w:rsidR="003D63D0">
        <w:t>Emily</w:t>
      </w:r>
      <w:r w:rsidR="003D63D0" w:rsidRPr="003D63D0">
        <w:rPr>
          <w:lang w:val="el-GR"/>
        </w:rPr>
        <w:t xml:space="preserve"> </w:t>
      </w:r>
      <w:r w:rsidR="003D63D0">
        <w:t>Jacir</w:t>
      </w:r>
      <w:r w:rsidR="003D63D0" w:rsidRPr="003D63D0">
        <w:rPr>
          <w:lang w:val="el-GR"/>
        </w:rPr>
        <w:t xml:space="preserve"> και </w:t>
      </w:r>
      <w:r w:rsidR="003D63D0">
        <w:t>Sophie</w:t>
      </w:r>
      <w:r w:rsidR="003D63D0" w:rsidRPr="003D63D0">
        <w:rPr>
          <w:lang w:val="el-GR"/>
        </w:rPr>
        <w:t xml:space="preserve"> </w:t>
      </w:r>
      <w:r w:rsidR="003D63D0">
        <w:t>Calle</w:t>
      </w:r>
      <w:r w:rsidR="003D63D0" w:rsidRPr="003D63D0">
        <w:rPr>
          <w:lang w:val="el-GR"/>
        </w:rPr>
        <w:t xml:space="preserve">: καταστολή, παράβαση και συλλογικότητα στη σύγχρονη τέχνη», στο </w:t>
      </w:r>
      <w:r w:rsidR="003D63D0" w:rsidRPr="003D63D0">
        <w:rPr>
          <w:i/>
          <w:lang w:val="el-GR"/>
        </w:rPr>
        <w:t xml:space="preserve">Θέατρο και Ετερότητα.  Πρακτικά του  Έκτου Πανελλήνιου Θεατρολογικού Συνεδρίου, </w:t>
      </w:r>
      <w:r w:rsidR="003D63D0" w:rsidRPr="003D63D0">
        <w:rPr>
          <w:lang w:val="el-GR"/>
        </w:rPr>
        <w:t xml:space="preserve"> (Ναύπλιο 2017), </w:t>
      </w:r>
      <w:r w:rsidR="003D63D0" w:rsidRPr="006A1D4C">
        <w:rPr>
          <w:lang w:val="el-GR"/>
        </w:rPr>
        <w:t xml:space="preserve">στο </w:t>
      </w:r>
      <w:hyperlink r:id="rId10" w:history="1">
        <w:r w:rsidR="003D63D0" w:rsidRPr="00CD7FD6">
          <w:rPr>
            <w:rStyle w:val="Hyperlink"/>
          </w:rPr>
          <w:t>https</w:t>
        </w:r>
        <w:r w:rsidR="003D63D0" w:rsidRPr="006A1D4C">
          <w:rPr>
            <w:rStyle w:val="Hyperlink"/>
            <w:lang w:val="el-GR"/>
          </w:rPr>
          <w:t>://</w:t>
        </w:r>
        <w:r w:rsidR="003D63D0" w:rsidRPr="00CD7FD6">
          <w:rPr>
            <w:rStyle w:val="Hyperlink"/>
          </w:rPr>
          <w:t>ikee</w:t>
        </w:r>
        <w:r w:rsidR="003D63D0" w:rsidRPr="006A1D4C">
          <w:rPr>
            <w:rStyle w:val="Hyperlink"/>
            <w:lang w:val="el-GR"/>
          </w:rPr>
          <w:t>.</w:t>
        </w:r>
        <w:r w:rsidR="003D63D0" w:rsidRPr="00CD7FD6">
          <w:rPr>
            <w:rStyle w:val="Hyperlink"/>
          </w:rPr>
          <w:t>lib</w:t>
        </w:r>
        <w:r w:rsidR="003D63D0" w:rsidRPr="006A1D4C">
          <w:rPr>
            <w:rStyle w:val="Hyperlink"/>
            <w:lang w:val="el-GR"/>
          </w:rPr>
          <w:t>.</w:t>
        </w:r>
        <w:r w:rsidR="003D63D0" w:rsidRPr="00CD7FD6">
          <w:rPr>
            <w:rStyle w:val="Hyperlink"/>
          </w:rPr>
          <w:t>auth</w:t>
        </w:r>
        <w:r w:rsidR="003D63D0" w:rsidRPr="006A1D4C">
          <w:rPr>
            <w:rStyle w:val="Hyperlink"/>
            <w:lang w:val="el-GR"/>
          </w:rPr>
          <w:t>.</w:t>
        </w:r>
        <w:r w:rsidR="003D63D0" w:rsidRPr="00CD7FD6">
          <w:rPr>
            <w:rStyle w:val="Hyperlink"/>
          </w:rPr>
          <w:t>gr</w:t>
        </w:r>
        <w:r w:rsidR="003D63D0" w:rsidRPr="006A1D4C">
          <w:rPr>
            <w:rStyle w:val="Hyperlink"/>
            <w:lang w:val="el-GR"/>
          </w:rPr>
          <w:t>/</w:t>
        </w:r>
        <w:r w:rsidR="003D63D0" w:rsidRPr="00CD7FD6">
          <w:rPr>
            <w:rStyle w:val="Hyperlink"/>
          </w:rPr>
          <w:t>record</w:t>
        </w:r>
        <w:r w:rsidR="003D63D0" w:rsidRPr="006A1D4C">
          <w:rPr>
            <w:rStyle w:val="Hyperlink"/>
            <w:lang w:val="el-GR"/>
          </w:rPr>
          <w:t>/337772/</w:t>
        </w:r>
        <w:r w:rsidR="003D63D0" w:rsidRPr="00CD7FD6">
          <w:rPr>
            <w:rStyle w:val="Hyperlink"/>
          </w:rPr>
          <w:t>files</w:t>
        </w:r>
        <w:r w:rsidR="003D63D0" w:rsidRPr="006A1D4C">
          <w:rPr>
            <w:rStyle w:val="Hyperlink"/>
            <w:lang w:val="el-GR"/>
          </w:rPr>
          <w:t>/7.</w:t>
        </w:r>
        <w:r w:rsidR="003D63D0" w:rsidRPr="00CD7FD6">
          <w:rPr>
            <w:rStyle w:val="Hyperlink"/>
          </w:rPr>
          <w:t>IV</w:t>
        </w:r>
      </w:hyperlink>
      <w:r w:rsidR="003D63D0" w:rsidRPr="006A1D4C">
        <w:rPr>
          <w:lang w:val="el-GR"/>
        </w:rPr>
        <w:t>.</w:t>
      </w:r>
    </w:p>
    <w:p w14:paraId="7B4C69AB" w14:textId="77777777" w:rsidR="00613BE0" w:rsidRDefault="00613BE0" w:rsidP="00613BE0">
      <w:pPr>
        <w:pStyle w:val="ListParagraph"/>
        <w:widowControl w:val="0"/>
        <w:spacing w:line="276" w:lineRule="auto"/>
        <w:jc w:val="both"/>
      </w:pPr>
      <w:r>
        <w:t>K</w:t>
      </w:r>
      <w:r w:rsidRPr="00972AA9">
        <w:t xml:space="preserve">. </w:t>
      </w:r>
      <w:r>
        <w:t>Houston, “Remote Control: Distance in Two Works by Emily Jacir and Wafaa Bilal” SECAC Review XVI (2).</w:t>
      </w:r>
      <w:r w:rsidRPr="00972AA9">
        <w:t xml:space="preserve"> </w:t>
      </w:r>
    </w:p>
    <w:p w14:paraId="3D7ECA6B" w14:textId="77777777" w:rsidR="00613BE0" w:rsidRDefault="00613BE0" w:rsidP="00613BE0">
      <w:pPr>
        <w:pStyle w:val="ListParagraph"/>
        <w:widowControl w:val="0"/>
        <w:spacing w:line="276" w:lineRule="auto"/>
        <w:jc w:val="both"/>
      </w:pPr>
      <w:r>
        <w:t xml:space="preserve">Jordan, Sh. “Performance in Sophie Calle’s </w:t>
      </w:r>
      <w:r w:rsidRPr="00972AA9">
        <w:rPr>
          <w:i/>
        </w:rPr>
        <w:t>Prenez Soin de Vous</w:t>
      </w:r>
      <w:r>
        <w:t xml:space="preserve">” </w:t>
      </w:r>
      <w:r w:rsidRPr="00972AA9">
        <w:rPr>
          <w:i/>
        </w:rPr>
        <w:t>French Cultural Studies</w:t>
      </w:r>
      <w:r>
        <w:t xml:space="preserve"> 2 (4) (2013).</w:t>
      </w:r>
    </w:p>
    <w:p w14:paraId="7F454CD9" w14:textId="77777777" w:rsidR="00576F29" w:rsidRDefault="00576F29" w:rsidP="00613BE0">
      <w:pPr>
        <w:pStyle w:val="ListParagraph"/>
        <w:widowControl w:val="0"/>
        <w:spacing w:line="276" w:lineRule="auto"/>
        <w:jc w:val="both"/>
      </w:pPr>
    </w:p>
    <w:p w14:paraId="036D6F8A" w14:textId="3E35C051" w:rsidR="00576F29" w:rsidRPr="00576F29" w:rsidRDefault="00576F29" w:rsidP="00613BE0">
      <w:pPr>
        <w:pStyle w:val="ListParagraph"/>
        <w:widowControl w:val="0"/>
        <w:spacing w:line="276" w:lineRule="auto"/>
        <w:jc w:val="both"/>
        <w:rPr>
          <w:b/>
          <w:bCs/>
          <w:color w:val="074F6A" w:themeColor="accent4" w:themeShade="80"/>
        </w:rPr>
      </w:pPr>
      <w:r w:rsidRPr="00576F29">
        <w:rPr>
          <w:b/>
          <w:bCs/>
          <w:color w:val="074F6A" w:themeColor="accent4" w:themeShade="80"/>
        </w:rPr>
        <w:t>Marina Abramovic “The artist is present”, “Rhythm 0”, “Balkan Baroque”</w:t>
      </w:r>
    </w:p>
    <w:p w14:paraId="6DC6E13B" w14:textId="7507644E" w:rsidR="00576F29" w:rsidRPr="00576F29" w:rsidRDefault="00576F29" w:rsidP="00613BE0">
      <w:pPr>
        <w:pStyle w:val="ListParagraph"/>
        <w:widowControl w:val="0"/>
        <w:spacing w:line="276" w:lineRule="auto"/>
        <w:jc w:val="both"/>
      </w:pPr>
      <w:r>
        <w:t>Arthur Danto, “Danger and disturbation: The Art of Marina Abramovic” και</w:t>
      </w:r>
    </w:p>
    <w:p w14:paraId="38128099" w14:textId="508742C5" w:rsidR="007B4A00" w:rsidRPr="007B4A00" w:rsidRDefault="00576F29" w:rsidP="007B4A00">
      <w:pPr>
        <w:pStyle w:val="ListParagraph"/>
        <w:widowControl w:val="0"/>
        <w:spacing w:line="276" w:lineRule="auto"/>
        <w:jc w:val="both"/>
      </w:pPr>
      <w:r>
        <w:t xml:space="preserve">Marina Abramovic, “Marina Abramovic on Performance Art” στο Marina Abramovic (2010), </w:t>
      </w:r>
      <w:r w:rsidRPr="00576F29">
        <w:rPr>
          <w:i/>
          <w:iCs/>
        </w:rPr>
        <w:t>The Artist is Present</w:t>
      </w:r>
      <w:r>
        <w:t>.</w:t>
      </w:r>
    </w:p>
    <w:p w14:paraId="377409BD" w14:textId="77777777" w:rsidR="00E076EB" w:rsidRPr="006436AE" w:rsidRDefault="00E076EB" w:rsidP="00E076EB">
      <w:pPr>
        <w:rPr>
          <w:b/>
          <w:bCs/>
          <w:lang w:val="el-GR"/>
        </w:rPr>
      </w:pPr>
      <w:r w:rsidRPr="00576F29">
        <w:t xml:space="preserve">4. 5. </w:t>
      </w:r>
      <w:r>
        <w:rPr>
          <w:lang w:val="el-GR"/>
        </w:rPr>
        <w:t>6.</w:t>
      </w:r>
      <w:r w:rsidRPr="006436AE">
        <w:rPr>
          <w:b/>
          <w:bCs/>
          <w:lang w:val="el-GR"/>
        </w:rPr>
        <w:tab/>
      </w:r>
      <w:r w:rsidRPr="000234B7">
        <w:rPr>
          <w:b/>
          <w:bCs/>
          <w:i/>
          <w:iCs/>
          <w:color w:val="153D63" w:themeColor="text2" w:themeTint="E6"/>
          <w:lang w:val="el-GR"/>
        </w:rPr>
        <w:t>Πολύτοπον των Μυκηνών</w:t>
      </w:r>
      <w:r w:rsidRPr="000234B7">
        <w:rPr>
          <w:b/>
          <w:bCs/>
          <w:color w:val="153D63" w:themeColor="text2" w:themeTint="E6"/>
          <w:lang w:val="el-GR"/>
        </w:rPr>
        <w:t xml:space="preserve"> του Ι. Ξενάκη (1978)</w:t>
      </w:r>
    </w:p>
    <w:p w14:paraId="1F69021F" w14:textId="3D968AA8" w:rsidR="00E076EB" w:rsidRDefault="00E076EB" w:rsidP="00E076EB">
      <w:pPr>
        <w:ind w:left="720"/>
        <w:rPr>
          <w:lang w:val="el-GR"/>
        </w:rPr>
      </w:pPr>
      <w:r w:rsidRPr="000947BA">
        <w:rPr>
          <w:lang w:val="el-GR"/>
        </w:rPr>
        <w:t xml:space="preserve">Σε κινηματογράφηση του Κ. Φέρρη στο </w:t>
      </w:r>
      <w:r>
        <w:rPr>
          <w:lang w:val="el-GR"/>
        </w:rPr>
        <w:t xml:space="preserve"> </w:t>
      </w:r>
      <w:hyperlink r:id="rId11" w:history="1">
        <w:r w:rsidRPr="00CD7FD6">
          <w:rPr>
            <w:rStyle w:val="Hyperlink"/>
          </w:rPr>
          <w:t>https</w:t>
        </w:r>
        <w:r w:rsidRPr="00CD7FD6">
          <w:rPr>
            <w:rStyle w:val="Hyperlink"/>
            <w:lang w:val="el-GR"/>
          </w:rPr>
          <w:t>://</w:t>
        </w:r>
        <w:r w:rsidRPr="00CD7FD6">
          <w:rPr>
            <w:rStyle w:val="Hyperlink"/>
          </w:rPr>
          <w:t>www</w:t>
        </w:r>
        <w:r w:rsidRPr="00CD7FD6">
          <w:rPr>
            <w:rStyle w:val="Hyperlink"/>
            <w:lang w:val="el-GR"/>
          </w:rPr>
          <w:t>.</w:t>
        </w:r>
        <w:r w:rsidRPr="00CD7FD6">
          <w:rPr>
            <w:rStyle w:val="Hyperlink"/>
          </w:rPr>
          <w:t>youtube</w:t>
        </w:r>
        <w:r w:rsidRPr="00CD7FD6">
          <w:rPr>
            <w:rStyle w:val="Hyperlink"/>
            <w:lang w:val="el-GR"/>
          </w:rPr>
          <w:t>.</w:t>
        </w:r>
        <w:r w:rsidRPr="00CD7FD6">
          <w:rPr>
            <w:rStyle w:val="Hyperlink"/>
          </w:rPr>
          <w:t>com</w:t>
        </w:r>
        <w:r w:rsidRPr="00CD7FD6">
          <w:rPr>
            <w:rStyle w:val="Hyperlink"/>
            <w:lang w:val="el-GR"/>
          </w:rPr>
          <w:t>/</w:t>
        </w:r>
        <w:r w:rsidRPr="00CD7FD6">
          <w:rPr>
            <w:rStyle w:val="Hyperlink"/>
          </w:rPr>
          <w:t>watch</w:t>
        </w:r>
        <w:r w:rsidRPr="00CD7FD6">
          <w:rPr>
            <w:rStyle w:val="Hyperlink"/>
            <w:lang w:val="el-GR"/>
          </w:rPr>
          <w:t>?</w:t>
        </w:r>
        <w:r w:rsidRPr="00CD7FD6">
          <w:rPr>
            <w:rStyle w:val="Hyperlink"/>
          </w:rPr>
          <w:t>v</w:t>
        </w:r>
        <w:r w:rsidRPr="00CD7FD6">
          <w:rPr>
            <w:rStyle w:val="Hyperlink"/>
            <w:lang w:val="el-GR"/>
          </w:rPr>
          <w:t>=</w:t>
        </w:r>
        <w:r w:rsidRPr="00CD7FD6">
          <w:rPr>
            <w:rStyle w:val="Hyperlink"/>
          </w:rPr>
          <w:t>Yzfn</w:t>
        </w:r>
        <w:r w:rsidRPr="00CD7FD6">
          <w:rPr>
            <w:rStyle w:val="Hyperlink"/>
            <w:lang w:val="el-GR"/>
          </w:rPr>
          <w:t>_</w:t>
        </w:r>
        <w:r w:rsidRPr="00CD7FD6">
          <w:rPr>
            <w:rStyle w:val="Hyperlink"/>
          </w:rPr>
          <w:t>TC</w:t>
        </w:r>
        <w:r w:rsidRPr="00CD7FD6">
          <w:rPr>
            <w:rStyle w:val="Hyperlink"/>
            <w:lang w:val="el-GR"/>
          </w:rPr>
          <w:t>9</w:t>
        </w:r>
        <w:r w:rsidRPr="00CD7FD6">
          <w:rPr>
            <w:rStyle w:val="Hyperlink"/>
          </w:rPr>
          <w:t>GO</w:t>
        </w:r>
        <w:r w:rsidRPr="00CD7FD6">
          <w:rPr>
            <w:rStyle w:val="Hyperlink"/>
            <w:lang w:val="el-GR"/>
          </w:rPr>
          <w:t>0</w:t>
        </w:r>
      </w:hyperlink>
    </w:p>
    <w:p w14:paraId="4E69C11D" w14:textId="211C77B5" w:rsidR="00E076EB" w:rsidRPr="003B3FAB" w:rsidRDefault="00E076EB" w:rsidP="00E076EB">
      <w:pPr>
        <w:ind w:left="720"/>
        <w:rPr>
          <w:iCs/>
          <w:color w:val="212121"/>
          <w:shd w:val="clear" w:color="auto" w:fill="FFFFFF"/>
        </w:rPr>
      </w:pPr>
      <w:r>
        <w:t xml:space="preserve">M. Kotzamani, </w:t>
      </w:r>
      <w:r w:rsidRPr="00F833EB">
        <w:t xml:space="preserve">“Under the starry night: Darkness, Community and Theatricality in Iannis Xenakis's </w:t>
      </w:r>
      <w:r w:rsidRPr="00F833EB">
        <w:rPr>
          <w:i/>
        </w:rPr>
        <w:t>Mycenae Polytopon</w:t>
      </w:r>
      <w:r w:rsidRPr="00F833EB">
        <w:t>” in</w:t>
      </w:r>
      <w:r w:rsidRPr="00F833EB">
        <w:rPr>
          <w:b/>
        </w:rPr>
        <w:t xml:space="preserve"> </w:t>
      </w:r>
      <w:r w:rsidRPr="00F833EB">
        <w:rPr>
          <w:i/>
          <w:iCs/>
          <w:color w:val="212121"/>
          <w:shd w:val="clear" w:color="auto" w:fill="FFFFFF"/>
        </w:rPr>
        <w:t xml:space="preserve">Theatre in the Dark: Shadow, Gloom and Blackout in Contemporary Theatre, </w:t>
      </w:r>
      <w:r w:rsidRPr="00F833EB">
        <w:rPr>
          <w:iCs/>
          <w:color w:val="212121"/>
          <w:shd w:val="clear" w:color="auto" w:fill="FFFFFF"/>
        </w:rPr>
        <w:t>Bloomsbury</w:t>
      </w:r>
      <w:r w:rsidRPr="003B3FAB">
        <w:rPr>
          <w:iCs/>
          <w:color w:val="212121"/>
          <w:shd w:val="clear" w:color="auto" w:fill="FFFFFF"/>
        </w:rPr>
        <w:t>, 2017.</w:t>
      </w:r>
    </w:p>
    <w:p w14:paraId="1A832B51" w14:textId="77777777" w:rsidR="00E076EB" w:rsidRDefault="00E076EB" w:rsidP="00E076EB">
      <w:pPr>
        <w:ind w:left="720"/>
      </w:pPr>
      <w:r>
        <w:t>O. Touloumi, “The Politics of Totality …” στο</w:t>
      </w:r>
      <w:r w:rsidRPr="00BE183A">
        <w:t xml:space="preserve"> </w:t>
      </w:r>
      <w:r>
        <w:t>Sharon Kannach, ed. Xenakis Matters.  Pendragon Press.</w:t>
      </w:r>
    </w:p>
    <w:p w14:paraId="480A142A" w14:textId="7C642A38" w:rsidR="003D63D0" w:rsidRPr="00E076EB" w:rsidRDefault="006436AE" w:rsidP="006436AE">
      <w:pPr>
        <w:spacing w:line="276" w:lineRule="auto"/>
        <w:ind w:left="720"/>
      </w:pPr>
      <w:r w:rsidRPr="006436AE">
        <w:t xml:space="preserve">Sterken, Sven. "Towards a space-Time art: Iannis Xenakis's polytopes." </w:t>
      </w:r>
      <w:r w:rsidRPr="006436AE">
        <w:rPr>
          <w:i/>
          <w:iCs/>
        </w:rPr>
        <w:t>Perspectives of New Music</w:t>
      </w:r>
      <w:r w:rsidRPr="006436AE">
        <w:t xml:space="preserve"> (2001): 262-273.</w:t>
      </w:r>
    </w:p>
    <w:p w14:paraId="02A81F93" w14:textId="77777777" w:rsidR="008F508F" w:rsidRPr="006436AE" w:rsidRDefault="008F508F" w:rsidP="000234B7">
      <w:pPr>
        <w:widowControl w:val="0"/>
        <w:spacing w:after="0" w:line="276" w:lineRule="auto"/>
        <w:jc w:val="both"/>
      </w:pPr>
    </w:p>
    <w:p w14:paraId="0399F708" w14:textId="77777777" w:rsidR="006436AE" w:rsidRPr="000234B7" w:rsidRDefault="000947BA" w:rsidP="000234B7">
      <w:pPr>
        <w:widowControl w:val="0"/>
        <w:spacing w:after="0" w:line="276" w:lineRule="auto"/>
        <w:ind w:left="720"/>
        <w:jc w:val="both"/>
        <w:rPr>
          <w:color w:val="153D63" w:themeColor="text2" w:themeTint="E6"/>
        </w:rPr>
      </w:pPr>
      <w:r w:rsidRPr="000234B7">
        <w:rPr>
          <w:b/>
          <w:bCs/>
          <w:color w:val="153D63" w:themeColor="text2" w:themeTint="E6"/>
        </w:rPr>
        <w:t xml:space="preserve">Robert Wilson, </w:t>
      </w:r>
      <w:r w:rsidRPr="000234B7">
        <w:rPr>
          <w:b/>
          <w:bCs/>
          <w:i/>
          <w:color w:val="153D63" w:themeColor="text2" w:themeTint="E6"/>
        </w:rPr>
        <w:t>Les Fables de La Fontaine</w:t>
      </w:r>
      <w:r w:rsidRPr="000234B7">
        <w:rPr>
          <w:color w:val="153D63" w:themeColor="text2" w:themeTint="E6"/>
        </w:rPr>
        <w:t xml:space="preserve"> </w:t>
      </w:r>
    </w:p>
    <w:p w14:paraId="19F616C4" w14:textId="456D9696" w:rsidR="000947BA" w:rsidRPr="006A1D4C" w:rsidRDefault="000947BA" w:rsidP="000234B7">
      <w:pPr>
        <w:widowControl w:val="0"/>
        <w:spacing w:after="0" w:line="276" w:lineRule="auto"/>
        <w:ind w:left="720"/>
        <w:rPr>
          <w:lang w:val="el-GR"/>
        </w:rPr>
      </w:pPr>
      <w:r w:rsidRPr="006436AE">
        <w:rPr>
          <w:lang w:val="el-GR"/>
        </w:rPr>
        <w:t>βασισμένο σε μύθους του Λα Φοντέν</w:t>
      </w:r>
      <w:r w:rsidR="006436AE" w:rsidRPr="006436AE">
        <w:rPr>
          <w:lang w:val="el-GR"/>
        </w:rPr>
        <w:t xml:space="preserve"> </w:t>
      </w:r>
      <w:r w:rsidR="007B7CD4" w:rsidRPr="006A1D4C">
        <w:rPr>
          <w:lang w:val="el-GR"/>
        </w:rPr>
        <w:t xml:space="preserve">στο </w:t>
      </w:r>
      <w:hyperlink r:id="rId12" w:history="1">
        <w:r w:rsidR="007B7CD4" w:rsidRPr="00CD7FD6">
          <w:rPr>
            <w:rStyle w:val="Hyperlink"/>
          </w:rPr>
          <w:t>https</w:t>
        </w:r>
        <w:r w:rsidR="007B7CD4" w:rsidRPr="00CD7FD6">
          <w:rPr>
            <w:rStyle w:val="Hyperlink"/>
            <w:lang w:val="el-GR"/>
          </w:rPr>
          <w:t>://</w:t>
        </w:r>
        <w:r w:rsidR="007B7CD4" w:rsidRPr="00CD7FD6">
          <w:rPr>
            <w:rStyle w:val="Hyperlink"/>
          </w:rPr>
          <w:t>www</w:t>
        </w:r>
        <w:r w:rsidR="007B7CD4" w:rsidRPr="00CD7FD6">
          <w:rPr>
            <w:rStyle w:val="Hyperlink"/>
            <w:lang w:val="el-GR"/>
          </w:rPr>
          <w:t>.</w:t>
        </w:r>
        <w:r w:rsidR="007B7CD4" w:rsidRPr="00CD7FD6">
          <w:rPr>
            <w:rStyle w:val="Hyperlink"/>
          </w:rPr>
          <w:t>youtube</w:t>
        </w:r>
        <w:r w:rsidR="007B7CD4" w:rsidRPr="00CD7FD6">
          <w:rPr>
            <w:rStyle w:val="Hyperlink"/>
            <w:lang w:val="el-GR"/>
          </w:rPr>
          <w:t>.</w:t>
        </w:r>
        <w:r w:rsidR="007B7CD4" w:rsidRPr="00CD7FD6">
          <w:rPr>
            <w:rStyle w:val="Hyperlink"/>
          </w:rPr>
          <w:t>com</w:t>
        </w:r>
        <w:r w:rsidR="007B7CD4" w:rsidRPr="00CD7FD6">
          <w:rPr>
            <w:rStyle w:val="Hyperlink"/>
            <w:lang w:val="el-GR"/>
          </w:rPr>
          <w:t>/</w:t>
        </w:r>
        <w:r w:rsidR="007B7CD4" w:rsidRPr="00CD7FD6">
          <w:rPr>
            <w:rStyle w:val="Hyperlink"/>
          </w:rPr>
          <w:t>watch</w:t>
        </w:r>
        <w:r w:rsidR="007B7CD4" w:rsidRPr="00CD7FD6">
          <w:rPr>
            <w:rStyle w:val="Hyperlink"/>
            <w:lang w:val="el-GR"/>
          </w:rPr>
          <w:t>?</w:t>
        </w:r>
        <w:r w:rsidR="007B7CD4" w:rsidRPr="00CD7FD6">
          <w:rPr>
            <w:rStyle w:val="Hyperlink"/>
          </w:rPr>
          <w:t>v</w:t>
        </w:r>
        <w:r w:rsidR="007B7CD4" w:rsidRPr="00CD7FD6">
          <w:rPr>
            <w:rStyle w:val="Hyperlink"/>
            <w:lang w:val="el-GR"/>
          </w:rPr>
          <w:t>=</w:t>
        </w:r>
        <w:r w:rsidR="007B7CD4" w:rsidRPr="00CD7FD6">
          <w:rPr>
            <w:rStyle w:val="Hyperlink"/>
          </w:rPr>
          <w:t>yVxDBojxnKA</w:t>
        </w:r>
        <w:r w:rsidR="007B7CD4" w:rsidRPr="00CD7FD6">
          <w:rPr>
            <w:rStyle w:val="Hyperlink"/>
            <w:lang w:val="el-GR"/>
          </w:rPr>
          <w:t>&amp;</w:t>
        </w:r>
        <w:r w:rsidR="007B7CD4" w:rsidRPr="00CD7FD6">
          <w:rPr>
            <w:rStyle w:val="Hyperlink"/>
          </w:rPr>
          <w:t>t</w:t>
        </w:r>
        <w:r w:rsidR="007B7CD4" w:rsidRPr="00CD7FD6">
          <w:rPr>
            <w:rStyle w:val="Hyperlink"/>
            <w:lang w:val="el-GR"/>
          </w:rPr>
          <w:t>=2725</w:t>
        </w:r>
        <w:r w:rsidR="007B7CD4" w:rsidRPr="00CD7FD6">
          <w:rPr>
            <w:rStyle w:val="Hyperlink"/>
          </w:rPr>
          <w:t>s</w:t>
        </w:r>
      </w:hyperlink>
    </w:p>
    <w:p w14:paraId="0B3E0C66" w14:textId="77777777" w:rsidR="006436AE" w:rsidRPr="006436AE" w:rsidRDefault="006436AE" w:rsidP="000234B7">
      <w:pPr>
        <w:widowControl w:val="0"/>
        <w:spacing w:after="0" w:line="276" w:lineRule="auto"/>
        <w:ind w:left="720"/>
        <w:rPr>
          <w:lang w:val="el-GR"/>
        </w:rPr>
      </w:pPr>
    </w:p>
    <w:p w14:paraId="17C5ED85" w14:textId="06D00107" w:rsidR="007B7CD4" w:rsidRDefault="007B7CD4" w:rsidP="000234B7">
      <w:pPr>
        <w:widowControl w:val="0"/>
        <w:spacing w:after="0" w:line="276" w:lineRule="auto"/>
        <w:ind w:firstLine="720"/>
        <w:jc w:val="both"/>
      </w:pPr>
      <w:r>
        <w:t xml:space="preserve">Shomit Mitter, </w:t>
      </w:r>
      <w:r w:rsidRPr="00506D44">
        <w:t>«</w:t>
      </w:r>
      <w:r>
        <w:t>Robert Wilson” στο</w:t>
      </w:r>
      <w:r w:rsidRPr="001267B2">
        <w:t xml:space="preserve"> </w:t>
      </w:r>
      <w:r w:rsidRPr="00506D44">
        <w:rPr>
          <w:i/>
        </w:rPr>
        <w:t>Fifty Key Theater Directors</w:t>
      </w:r>
      <w:r>
        <w:t>, 185-190.</w:t>
      </w:r>
    </w:p>
    <w:p w14:paraId="7A6B3FC5" w14:textId="2B3946E3" w:rsidR="007B7CD4" w:rsidRPr="007B7CD4" w:rsidRDefault="007B7CD4" w:rsidP="000234B7">
      <w:pPr>
        <w:widowControl w:val="0"/>
        <w:spacing w:after="0" w:line="276" w:lineRule="auto"/>
        <w:ind w:firstLine="720"/>
        <w:jc w:val="both"/>
      </w:pPr>
      <w:r>
        <w:rPr>
          <w:lang w:val="el-GR"/>
        </w:rPr>
        <w:t>Μ</w:t>
      </w:r>
      <w:r w:rsidRPr="007B7CD4">
        <w:t xml:space="preserve">. </w:t>
      </w:r>
      <w:r>
        <w:t xml:space="preserve">Shevtsova, “Methods, elements and principles” </w:t>
      </w:r>
      <w:r>
        <w:rPr>
          <w:lang w:val="el-GR"/>
        </w:rPr>
        <w:t>στο</w:t>
      </w:r>
      <w:r w:rsidRPr="007B7CD4">
        <w:t xml:space="preserve"> </w:t>
      </w:r>
      <w:r>
        <w:t>Robert Wilson, 41-82</w:t>
      </w:r>
    </w:p>
    <w:p w14:paraId="433DE7B9" w14:textId="5F205778" w:rsidR="007B7CD4" w:rsidRDefault="008F508F" w:rsidP="000234B7">
      <w:pPr>
        <w:widowControl w:val="0"/>
        <w:spacing w:after="0" w:line="276" w:lineRule="auto"/>
        <w:ind w:firstLine="720"/>
        <w:jc w:val="both"/>
        <w:rPr>
          <w:i/>
        </w:rPr>
      </w:pPr>
      <w:r>
        <w:t xml:space="preserve">Β. </w:t>
      </w:r>
      <w:r w:rsidR="007B7CD4" w:rsidRPr="00506D44">
        <w:t xml:space="preserve">Marranca, “Introduction” </w:t>
      </w:r>
      <w:r w:rsidR="007B7CD4">
        <w:t>στο</w:t>
      </w:r>
      <w:r w:rsidR="007B7CD4" w:rsidRPr="00506D44">
        <w:t xml:space="preserve"> </w:t>
      </w:r>
      <w:r w:rsidR="007B7CD4" w:rsidRPr="00506D44">
        <w:rPr>
          <w:i/>
        </w:rPr>
        <w:t>The Theatre of Images</w:t>
      </w:r>
    </w:p>
    <w:p w14:paraId="3BF144B2" w14:textId="3F3678BD" w:rsidR="008F508F" w:rsidRPr="000234B7" w:rsidRDefault="008F508F" w:rsidP="000234B7">
      <w:pPr>
        <w:widowControl w:val="0"/>
        <w:spacing w:after="0" w:line="276" w:lineRule="auto"/>
        <w:ind w:firstLine="720"/>
        <w:jc w:val="both"/>
        <w:rPr>
          <w:lang w:val="el-GR"/>
        </w:rPr>
      </w:pPr>
      <w:r w:rsidRPr="000234B7">
        <w:rPr>
          <w:lang w:val="el-GR"/>
        </w:rPr>
        <w:t xml:space="preserve">Ε. Βαροπούλου, «Ο Ουίλσον της παντομίμας» στο </w:t>
      </w:r>
      <w:r w:rsidRPr="000234B7">
        <w:rPr>
          <w:i/>
          <w:lang w:val="el-GR"/>
        </w:rPr>
        <w:t>Ζωντανό θέατρο</w:t>
      </w:r>
      <w:r w:rsidRPr="000234B7">
        <w:rPr>
          <w:lang w:val="el-GR"/>
        </w:rPr>
        <w:t xml:space="preserve"> 108-112.</w:t>
      </w:r>
    </w:p>
    <w:p w14:paraId="1919B3D4" w14:textId="77777777" w:rsidR="007B7CD4" w:rsidRPr="000234B7" w:rsidRDefault="007B7CD4" w:rsidP="000234B7">
      <w:pPr>
        <w:widowControl w:val="0"/>
        <w:spacing w:after="0" w:line="276" w:lineRule="auto"/>
        <w:ind w:firstLine="720"/>
        <w:jc w:val="both"/>
      </w:pPr>
      <w:r w:rsidRPr="000234B7">
        <w:t xml:space="preserve">H-Th Lehmann, Wilson or the landscape στο  </w:t>
      </w:r>
      <w:r w:rsidRPr="000234B7">
        <w:rPr>
          <w:i/>
        </w:rPr>
        <w:t>Postdramatic Theatre</w:t>
      </w:r>
      <w:r w:rsidRPr="000234B7">
        <w:t>, 77-81</w:t>
      </w:r>
    </w:p>
    <w:p w14:paraId="72996B10" w14:textId="3CEE6BDF" w:rsidR="008F508F" w:rsidRPr="006A1D4C" w:rsidRDefault="008F508F" w:rsidP="000234B7">
      <w:pPr>
        <w:widowControl w:val="0"/>
        <w:spacing w:after="0" w:line="276" w:lineRule="auto"/>
        <w:ind w:left="720"/>
        <w:jc w:val="both"/>
        <w:rPr>
          <w:lang w:val="el-GR"/>
        </w:rPr>
      </w:pPr>
      <w:r w:rsidRPr="000234B7">
        <w:t xml:space="preserve">Β. Brantley, “On the surface the Moral: Beneath that, the Blood.” </w:t>
      </w:r>
      <w:r w:rsidRPr="000234B7">
        <w:rPr>
          <w:i/>
        </w:rPr>
        <w:t>The</w:t>
      </w:r>
      <w:r w:rsidRPr="000234B7">
        <w:rPr>
          <w:i/>
          <w:lang w:val="el-GR"/>
        </w:rPr>
        <w:t xml:space="preserve"> </w:t>
      </w:r>
      <w:r w:rsidRPr="000234B7">
        <w:rPr>
          <w:i/>
        </w:rPr>
        <w:t>New</w:t>
      </w:r>
      <w:r w:rsidRPr="000234B7">
        <w:rPr>
          <w:i/>
          <w:lang w:val="el-GR"/>
        </w:rPr>
        <w:t xml:space="preserve"> </w:t>
      </w:r>
      <w:r w:rsidRPr="000234B7">
        <w:rPr>
          <w:i/>
        </w:rPr>
        <w:t>York</w:t>
      </w:r>
      <w:r w:rsidRPr="000234B7">
        <w:rPr>
          <w:i/>
          <w:lang w:val="el-GR"/>
        </w:rPr>
        <w:t xml:space="preserve"> </w:t>
      </w:r>
      <w:r w:rsidRPr="000234B7">
        <w:rPr>
          <w:i/>
        </w:rPr>
        <w:t>Times</w:t>
      </w:r>
      <w:r w:rsidRPr="000234B7">
        <w:rPr>
          <w:lang w:val="el-GR"/>
        </w:rPr>
        <w:t xml:space="preserve"> </w:t>
      </w:r>
      <w:r w:rsidRPr="000234B7">
        <w:t>July</w:t>
      </w:r>
      <w:r w:rsidRPr="000234B7">
        <w:rPr>
          <w:lang w:val="el-GR"/>
        </w:rPr>
        <w:t xml:space="preserve"> 12, 2007.</w:t>
      </w:r>
    </w:p>
    <w:p w14:paraId="49B31153" w14:textId="1B5C1107" w:rsidR="008F508F" w:rsidRPr="006A1D4C" w:rsidRDefault="008F508F" w:rsidP="000234B7">
      <w:pPr>
        <w:spacing w:after="0" w:line="276" w:lineRule="auto"/>
        <w:ind w:firstLine="720"/>
        <w:rPr>
          <w:rFonts w:ascii="Arial" w:hAnsi="Arial" w:cs="Arial"/>
          <w:lang w:val="el-GR"/>
        </w:rPr>
      </w:pPr>
      <w:r w:rsidRPr="006A1D4C">
        <w:rPr>
          <w:rFonts w:ascii="Arial" w:hAnsi="Arial" w:cs="Arial"/>
          <w:lang w:val="el-GR"/>
        </w:rPr>
        <w:t xml:space="preserve">Α. </w:t>
      </w:r>
      <w:r>
        <w:rPr>
          <w:rFonts w:ascii="Arial" w:hAnsi="Arial" w:cs="Arial"/>
          <w:lang w:val="el-GR"/>
        </w:rPr>
        <w:t>Αρτώ, Το θ</w:t>
      </w:r>
      <w:r w:rsidR="000234B7" w:rsidRPr="005B6862">
        <w:rPr>
          <w:rFonts w:ascii="Arial" w:hAnsi="Arial" w:cs="Arial"/>
          <w:lang w:val="el-GR"/>
        </w:rPr>
        <w:t>έ</w:t>
      </w:r>
      <w:r>
        <w:rPr>
          <w:rFonts w:ascii="Arial" w:hAnsi="Arial" w:cs="Arial"/>
          <w:lang w:val="el-GR"/>
        </w:rPr>
        <w:t>ατρο και το είδωλό του (επιλογές), σ. 77-83 και 95-114.</w:t>
      </w:r>
    </w:p>
    <w:p w14:paraId="0F4C5159" w14:textId="77777777" w:rsidR="008F508F" w:rsidRPr="006A1D4C" w:rsidRDefault="008F508F" w:rsidP="000234B7">
      <w:pPr>
        <w:spacing w:after="0" w:line="276" w:lineRule="auto"/>
        <w:ind w:firstLine="720"/>
        <w:rPr>
          <w:rFonts w:ascii="Arial" w:hAnsi="Arial" w:cs="Arial"/>
          <w:lang w:val="el-GR"/>
        </w:rPr>
      </w:pPr>
    </w:p>
    <w:p w14:paraId="301D7410" w14:textId="77777777" w:rsidR="008F508F" w:rsidRDefault="008F508F" w:rsidP="000234B7">
      <w:pPr>
        <w:widowControl w:val="0"/>
        <w:spacing w:after="0" w:line="276" w:lineRule="auto"/>
        <w:ind w:firstLine="720"/>
        <w:jc w:val="both"/>
      </w:pPr>
      <w:r>
        <w:t xml:space="preserve">R. Wilson, </w:t>
      </w:r>
      <w:hyperlink r:id="rId13" w:history="1">
        <w:r w:rsidRPr="007041D1">
          <w:rPr>
            <w:rStyle w:val="Hyperlink"/>
          </w:rPr>
          <w:t>https://robertwilson.com/t19dcgsruzsdm40qwfhml48isxb2id</w:t>
        </w:r>
      </w:hyperlink>
    </w:p>
    <w:p w14:paraId="74FA5F14" w14:textId="77777777" w:rsidR="008F508F" w:rsidRDefault="008F508F" w:rsidP="000234B7">
      <w:pPr>
        <w:widowControl w:val="0"/>
        <w:spacing w:after="0" w:line="276" w:lineRule="auto"/>
        <w:ind w:firstLine="720"/>
        <w:jc w:val="both"/>
      </w:pPr>
      <w:r w:rsidRPr="007B7CD4">
        <w:rPr>
          <w:lang w:val="el-GR"/>
        </w:rPr>
        <w:t>Επίσημος</w:t>
      </w:r>
      <w:r w:rsidRPr="008F508F">
        <w:t xml:space="preserve"> </w:t>
      </w:r>
      <w:r w:rsidRPr="007B7CD4">
        <w:rPr>
          <w:lang w:val="el-GR"/>
        </w:rPr>
        <w:t>ιστότοπος</w:t>
      </w:r>
      <w:r w:rsidRPr="008F508F">
        <w:t xml:space="preserve"> </w:t>
      </w:r>
      <w:r w:rsidRPr="007B7CD4">
        <w:rPr>
          <w:lang w:val="el-GR"/>
        </w:rPr>
        <w:t>του</w:t>
      </w:r>
      <w:r w:rsidRPr="008F508F">
        <w:t xml:space="preserve"> </w:t>
      </w:r>
      <w:r>
        <w:t>Robert</w:t>
      </w:r>
      <w:r w:rsidRPr="008F508F">
        <w:t xml:space="preserve"> </w:t>
      </w:r>
      <w:r>
        <w:t>Wilson</w:t>
      </w:r>
    </w:p>
    <w:p w14:paraId="441E773B" w14:textId="77777777" w:rsidR="008F508F" w:rsidRDefault="008F508F" w:rsidP="000234B7">
      <w:pPr>
        <w:spacing w:after="0" w:line="276" w:lineRule="auto"/>
        <w:ind w:firstLine="720"/>
      </w:pPr>
      <w:r w:rsidRPr="008F508F">
        <w:t>“</w:t>
      </w:r>
      <w:r>
        <w:t>How</w:t>
      </w:r>
      <w:r w:rsidRPr="008F508F">
        <w:t xml:space="preserve"> </w:t>
      </w:r>
      <w:r>
        <w:t>Robert</w:t>
      </w:r>
      <w:r w:rsidRPr="008F508F">
        <w:t xml:space="preserve"> </w:t>
      </w:r>
      <w:r>
        <w:t>Wilson</w:t>
      </w:r>
      <w:r w:rsidRPr="008F508F">
        <w:t xml:space="preserve"> </w:t>
      </w:r>
      <w:r>
        <w:t>bends</w:t>
      </w:r>
      <w:r w:rsidRPr="008F508F">
        <w:t xml:space="preserve"> </w:t>
      </w:r>
      <w:r>
        <w:t xml:space="preserve">time” στο </w:t>
      </w:r>
      <w:hyperlink r:id="rId14" w:history="1">
        <w:r w:rsidRPr="00CD7FD6">
          <w:rPr>
            <w:rStyle w:val="Hyperlink"/>
          </w:rPr>
          <w:t>https://vimeo.com/660375039</w:t>
        </w:r>
      </w:hyperlink>
    </w:p>
    <w:p w14:paraId="1BD5E8A0" w14:textId="77777777" w:rsidR="006436AE" w:rsidRDefault="006436AE" w:rsidP="006436AE">
      <w:pPr>
        <w:spacing w:after="0" w:line="276" w:lineRule="auto"/>
      </w:pPr>
    </w:p>
    <w:p w14:paraId="4C4559BE" w14:textId="5B39E376" w:rsidR="006436AE" w:rsidRPr="009E0CFE" w:rsidRDefault="006436AE" w:rsidP="006436AE">
      <w:pPr>
        <w:spacing w:after="0" w:line="276" w:lineRule="auto"/>
        <w:rPr>
          <w:color w:val="153D63" w:themeColor="text2" w:themeTint="E6"/>
        </w:rPr>
      </w:pPr>
      <w:r w:rsidRPr="009E0CFE">
        <w:t xml:space="preserve">7. 8. 9. </w:t>
      </w:r>
      <w:r w:rsidR="00E64AFF" w:rsidRPr="000234B7">
        <w:rPr>
          <w:b/>
          <w:bCs/>
          <w:color w:val="153D63" w:themeColor="text2" w:themeTint="E6"/>
        </w:rPr>
        <w:t>Antoine</w:t>
      </w:r>
      <w:r w:rsidR="00E64AFF" w:rsidRPr="009E0CFE">
        <w:rPr>
          <w:b/>
          <w:bCs/>
          <w:color w:val="153D63" w:themeColor="text2" w:themeTint="E6"/>
        </w:rPr>
        <w:t xml:space="preserve"> </w:t>
      </w:r>
      <w:r w:rsidR="00E64AFF" w:rsidRPr="000234B7">
        <w:rPr>
          <w:b/>
          <w:bCs/>
          <w:color w:val="153D63" w:themeColor="text2" w:themeTint="E6"/>
        </w:rPr>
        <w:t>Vitez</w:t>
      </w:r>
      <w:r w:rsidR="00E64AFF" w:rsidRPr="009E0CFE">
        <w:rPr>
          <w:b/>
          <w:bCs/>
          <w:color w:val="153D63" w:themeColor="text2" w:themeTint="E6"/>
        </w:rPr>
        <w:t xml:space="preserve">, </w:t>
      </w:r>
      <w:r w:rsidR="00C27C69" w:rsidRPr="005B6862">
        <w:rPr>
          <w:b/>
          <w:bCs/>
          <w:i/>
          <w:iCs/>
          <w:color w:val="153D63" w:themeColor="text2" w:themeTint="E6"/>
          <w:lang w:val="el-GR"/>
        </w:rPr>
        <w:t>Ηλέκτρα</w:t>
      </w:r>
    </w:p>
    <w:p w14:paraId="3731B7A9" w14:textId="2D570221" w:rsidR="00C27C69" w:rsidRPr="006A1D4C" w:rsidRDefault="00C27C69" w:rsidP="006436AE">
      <w:pPr>
        <w:spacing w:after="0" w:line="276" w:lineRule="auto"/>
        <w:rPr>
          <w:lang w:val="el-GR"/>
        </w:rPr>
      </w:pPr>
      <w:r w:rsidRPr="009E0CFE">
        <w:tab/>
      </w:r>
      <w:r w:rsidRPr="005B6862">
        <w:rPr>
          <w:lang w:val="el-GR"/>
        </w:rPr>
        <w:t>Σοφοκλής</w:t>
      </w:r>
      <w:r w:rsidRPr="009E0CFE">
        <w:t xml:space="preserve">, </w:t>
      </w:r>
      <w:r w:rsidRPr="005B6862">
        <w:rPr>
          <w:i/>
          <w:iCs/>
          <w:lang w:val="el-GR"/>
        </w:rPr>
        <w:t>Ηλέκτρα</w:t>
      </w:r>
      <w:r w:rsidRPr="009E0CFE">
        <w:t xml:space="preserve">.  </w:t>
      </w:r>
      <w:r w:rsidRPr="006A1D4C">
        <w:rPr>
          <w:lang w:val="el-GR"/>
        </w:rPr>
        <w:t>Επιλογή μετάφρασης</w:t>
      </w:r>
    </w:p>
    <w:p w14:paraId="645CD80E" w14:textId="6212918B" w:rsidR="00C27C69" w:rsidRPr="00E05354" w:rsidRDefault="00C27C69" w:rsidP="00E05354">
      <w:pPr>
        <w:spacing w:after="0" w:line="276" w:lineRule="auto"/>
        <w:ind w:left="720"/>
        <w:rPr>
          <w:lang w:val="el-GR"/>
        </w:rPr>
      </w:pPr>
      <w:r w:rsidRPr="006A1D4C">
        <w:rPr>
          <w:lang w:val="el-GR"/>
        </w:rPr>
        <w:t xml:space="preserve">Ε. Παπάζογλου, </w:t>
      </w:r>
      <w:r w:rsidRPr="006A1D4C">
        <w:rPr>
          <w:i/>
          <w:iCs/>
          <w:lang w:val="el-GR"/>
        </w:rPr>
        <w:t>Το Πρόσωπο του Πένθους.  Η Ηλέκτρα του Σοφοκλή ανάμεσα στο κείμενο και την παράσταση</w:t>
      </w:r>
      <w:r w:rsidRPr="006A1D4C">
        <w:rPr>
          <w:lang w:val="el-GR"/>
        </w:rPr>
        <w:t>, Πόλις, 2014, επιλογές σ. 13-14, 29-48.</w:t>
      </w:r>
    </w:p>
    <w:p w14:paraId="5DECC0D4" w14:textId="3BFDB46D" w:rsidR="008F508F" w:rsidRPr="006A1D4C" w:rsidRDefault="00E05354" w:rsidP="00E05354">
      <w:pPr>
        <w:spacing w:after="0" w:line="276" w:lineRule="auto"/>
        <w:ind w:left="720"/>
        <w:rPr>
          <w:lang w:val="el-GR"/>
        </w:rPr>
      </w:pPr>
      <w:r w:rsidRPr="006A1D4C">
        <w:rPr>
          <w:lang w:val="el-GR"/>
        </w:rPr>
        <w:t xml:space="preserve">Σ. Χαβιάρας, </w:t>
      </w:r>
      <w:r w:rsidRPr="006A1D4C">
        <w:rPr>
          <w:i/>
          <w:iCs/>
          <w:lang w:val="el-GR"/>
        </w:rPr>
        <w:t>Η Ηλέκτρα του Σοφοκλή από τον Αντουάν Βιτέζ</w:t>
      </w:r>
      <w:r w:rsidRPr="006A1D4C">
        <w:rPr>
          <w:lang w:val="el-GR"/>
        </w:rPr>
        <w:t xml:space="preserve"> σελ. 11-14.</w:t>
      </w:r>
    </w:p>
    <w:p w14:paraId="1CFCFA5D" w14:textId="77777777" w:rsidR="008F508F" w:rsidRPr="006A1D4C" w:rsidRDefault="008F508F" w:rsidP="008F508F">
      <w:pPr>
        <w:spacing w:after="0" w:line="276" w:lineRule="auto"/>
        <w:ind w:firstLine="720"/>
        <w:rPr>
          <w:rFonts w:ascii="Arial" w:hAnsi="Arial" w:cs="Arial"/>
          <w:lang w:val="el-GR"/>
        </w:rPr>
      </w:pPr>
    </w:p>
    <w:p w14:paraId="449A6820" w14:textId="100A93BF" w:rsidR="008F508F" w:rsidRPr="000234B7" w:rsidRDefault="00E05354" w:rsidP="008F508F">
      <w:pPr>
        <w:ind w:firstLine="720"/>
        <w:rPr>
          <w:b/>
          <w:bCs/>
          <w:color w:val="153D63" w:themeColor="text2" w:themeTint="E6"/>
          <w:lang w:val="el-GR"/>
        </w:rPr>
      </w:pPr>
      <w:r w:rsidRPr="000234B7">
        <w:rPr>
          <w:b/>
          <w:bCs/>
          <w:color w:val="153D63" w:themeColor="text2" w:themeTint="E6"/>
        </w:rPr>
        <w:t>Tadashi</w:t>
      </w:r>
      <w:r w:rsidRPr="000234B7">
        <w:rPr>
          <w:b/>
          <w:bCs/>
          <w:color w:val="153D63" w:themeColor="text2" w:themeTint="E6"/>
          <w:lang w:val="el-GR"/>
        </w:rPr>
        <w:t xml:space="preserve"> </w:t>
      </w:r>
      <w:r w:rsidRPr="000234B7">
        <w:rPr>
          <w:b/>
          <w:bCs/>
          <w:color w:val="153D63" w:themeColor="text2" w:themeTint="E6"/>
        </w:rPr>
        <w:t>Suzuki</w:t>
      </w:r>
      <w:r w:rsidRPr="000234B7">
        <w:rPr>
          <w:b/>
          <w:bCs/>
          <w:color w:val="153D63" w:themeColor="text2" w:themeTint="E6"/>
          <w:lang w:val="el-GR"/>
        </w:rPr>
        <w:t xml:space="preserve">, </w:t>
      </w:r>
      <w:r w:rsidRPr="000234B7">
        <w:rPr>
          <w:b/>
          <w:bCs/>
          <w:i/>
          <w:iCs/>
          <w:color w:val="153D63" w:themeColor="text2" w:themeTint="E6"/>
          <w:lang w:val="el-GR"/>
        </w:rPr>
        <w:t>Ηλέκτρα</w:t>
      </w:r>
    </w:p>
    <w:p w14:paraId="73B82481" w14:textId="1F60DAE0" w:rsidR="008F508F" w:rsidRPr="006A1D4C" w:rsidRDefault="006A063C" w:rsidP="007B7CD4">
      <w:pPr>
        <w:widowControl w:val="0"/>
        <w:ind w:firstLine="720"/>
        <w:jc w:val="both"/>
        <w:rPr>
          <w:lang w:val="el-GR"/>
        </w:rPr>
      </w:pPr>
      <w:r w:rsidRPr="006A1D4C">
        <w:rPr>
          <w:lang w:val="el-GR"/>
        </w:rPr>
        <w:t xml:space="preserve">Στο </w:t>
      </w:r>
      <w:hyperlink r:id="rId15" w:history="1">
        <w:r w:rsidRPr="009B4286">
          <w:rPr>
            <w:rStyle w:val="Hyperlink"/>
          </w:rPr>
          <w:t>https</w:t>
        </w:r>
        <w:r w:rsidRPr="006A1D4C">
          <w:rPr>
            <w:rStyle w:val="Hyperlink"/>
            <w:lang w:val="el-GR"/>
          </w:rPr>
          <w:t>://</w:t>
        </w:r>
        <w:r w:rsidRPr="009B4286">
          <w:rPr>
            <w:rStyle w:val="Hyperlink"/>
          </w:rPr>
          <w:t>www</w:t>
        </w:r>
        <w:r w:rsidRPr="006A1D4C">
          <w:rPr>
            <w:rStyle w:val="Hyperlink"/>
            <w:lang w:val="el-GR"/>
          </w:rPr>
          <w:t>.</w:t>
        </w:r>
        <w:r w:rsidRPr="009B4286">
          <w:rPr>
            <w:rStyle w:val="Hyperlink"/>
          </w:rPr>
          <w:t>youtube</w:t>
        </w:r>
        <w:r w:rsidRPr="006A1D4C">
          <w:rPr>
            <w:rStyle w:val="Hyperlink"/>
            <w:lang w:val="el-GR"/>
          </w:rPr>
          <w:t>.</w:t>
        </w:r>
        <w:r w:rsidRPr="009B4286">
          <w:rPr>
            <w:rStyle w:val="Hyperlink"/>
          </w:rPr>
          <w:t>com</w:t>
        </w:r>
        <w:r w:rsidRPr="006A1D4C">
          <w:rPr>
            <w:rStyle w:val="Hyperlink"/>
            <w:lang w:val="el-GR"/>
          </w:rPr>
          <w:t>/</w:t>
        </w:r>
        <w:r w:rsidRPr="009B4286">
          <w:rPr>
            <w:rStyle w:val="Hyperlink"/>
          </w:rPr>
          <w:t>watch</w:t>
        </w:r>
        <w:r w:rsidRPr="006A1D4C">
          <w:rPr>
            <w:rStyle w:val="Hyperlink"/>
            <w:lang w:val="el-GR"/>
          </w:rPr>
          <w:t>?</w:t>
        </w:r>
        <w:r w:rsidRPr="009B4286">
          <w:rPr>
            <w:rStyle w:val="Hyperlink"/>
          </w:rPr>
          <w:t>v</w:t>
        </w:r>
        <w:r w:rsidRPr="006A1D4C">
          <w:rPr>
            <w:rStyle w:val="Hyperlink"/>
            <w:lang w:val="el-GR"/>
          </w:rPr>
          <w:t>=</w:t>
        </w:r>
        <w:r w:rsidRPr="009B4286">
          <w:rPr>
            <w:rStyle w:val="Hyperlink"/>
          </w:rPr>
          <w:t>B</w:t>
        </w:r>
        <w:r w:rsidRPr="006A1D4C">
          <w:rPr>
            <w:rStyle w:val="Hyperlink"/>
            <w:lang w:val="el-GR"/>
          </w:rPr>
          <w:t>7</w:t>
        </w:r>
        <w:r w:rsidRPr="009B4286">
          <w:rPr>
            <w:rStyle w:val="Hyperlink"/>
          </w:rPr>
          <w:t>JUH</w:t>
        </w:r>
        <w:r w:rsidRPr="006A1D4C">
          <w:rPr>
            <w:rStyle w:val="Hyperlink"/>
            <w:lang w:val="el-GR"/>
          </w:rPr>
          <w:t>4</w:t>
        </w:r>
        <w:r w:rsidRPr="009B4286">
          <w:rPr>
            <w:rStyle w:val="Hyperlink"/>
          </w:rPr>
          <w:t>zZoZI</w:t>
        </w:r>
      </w:hyperlink>
    </w:p>
    <w:p w14:paraId="3F63470B" w14:textId="4BAA212B" w:rsidR="006A063C" w:rsidRDefault="006A063C" w:rsidP="006A063C">
      <w:pPr>
        <w:widowControl w:val="0"/>
        <w:spacing w:after="0" w:line="276" w:lineRule="auto"/>
        <w:ind w:firstLine="720"/>
        <w:jc w:val="both"/>
      </w:pPr>
      <w:r>
        <w:t xml:space="preserve">Ι. Carruthers, Tadashi Suzuki, στο </w:t>
      </w:r>
      <w:r w:rsidRPr="00506D44">
        <w:rPr>
          <w:i/>
        </w:rPr>
        <w:t>Fifty Key Theater Directors</w:t>
      </w:r>
      <w:r>
        <w:t>, σελ. 167-173.</w:t>
      </w:r>
    </w:p>
    <w:p w14:paraId="23969E67" w14:textId="05B72A96" w:rsidR="00FA2EA7" w:rsidRDefault="00FA2EA7" w:rsidP="006A063C">
      <w:pPr>
        <w:widowControl w:val="0"/>
        <w:spacing w:after="0" w:line="276" w:lineRule="auto"/>
        <w:ind w:firstLine="720"/>
        <w:jc w:val="both"/>
      </w:pPr>
      <w:r w:rsidRPr="00FA2EA7">
        <w:t xml:space="preserve">Kim, Jae Kyoung. "Electra." </w:t>
      </w:r>
      <w:r w:rsidRPr="00FA2EA7">
        <w:rPr>
          <w:i/>
          <w:iCs/>
        </w:rPr>
        <w:t>Theatre Journal</w:t>
      </w:r>
      <w:r w:rsidRPr="00FA2EA7">
        <w:t xml:space="preserve"> 61.3 (2009): 472-474.</w:t>
      </w:r>
    </w:p>
    <w:p w14:paraId="0521A44F" w14:textId="708F7DB5" w:rsidR="00FA2EA7" w:rsidRPr="00FA2EA7" w:rsidRDefault="00FA2EA7" w:rsidP="006A063C">
      <w:pPr>
        <w:widowControl w:val="0"/>
        <w:spacing w:after="0" w:line="276" w:lineRule="auto"/>
        <w:ind w:firstLine="720"/>
        <w:jc w:val="both"/>
      </w:pPr>
      <w:r w:rsidRPr="00FA2EA7">
        <w:t xml:space="preserve">Kim, Jae Kyoung. "Electra." </w:t>
      </w:r>
      <w:r w:rsidRPr="00FA2EA7">
        <w:rPr>
          <w:i/>
          <w:iCs/>
        </w:rPr>
        <w:t>Theatre Journal</w:t>
      </w:r>
      <w:r w:rsidRPr="00FA2EA7">
        <w:t xml:space="preserve"> 61.3 (2009): 472-474.</w:t>
      </w:r>
    </w:p>
    <w:p w14:paraId="17F2512D" w14:textId="068122D8" w:rsidR="006A063C" w:rsidRPr="006A1D4C" w:rsidRDefault="003570DA" w:rsidP="003570DA">
      <w:pPr>
        <w:widowControl w:val="0"/>
        <w:ind w:left="720"/>
        <w:rPr>
          <w:lang w:val="el-GR"/>
        </w:rPr>
      </w:pPr>
      <w:r w:rsidRPr="006A1D4C">
        <w:rPr>
          <w:lang w:val="el-GR"/>
        </w:rPr>
        <w:t xml:space="preserve">Ε. Βαροπούλου, “Ο Σουζούκι και η τραγωδία” στο </w:t>
      </w:r>
      <w:r w:rsidRPr="006A1D4C">
        <w:rPr>
          <w:i/>
          <w:iCs/>
          <w:lang w:val="el-GR"/>
        </w:rPr>
        <w:t>Το ζωντανό θέατρο</w:t>
      </w:r>
      <w:r w:rsidRPr="006A1D4C">
        <w:rPr>
          <w:lang w:val="el-GR"/>
        </w:rPr>
        <w:t>, σελ. 474-479.</w:t>
      </w:r>
    </w:p>
    <w:p w14:paraId="07806594" w14:textId="65D3E4CD" w:rsidR="00D5133A" w:rsidRPr="006A1D4C" w:rsidRDefault="00D5133A" w:rsidP="003570DA">
      <w:pPr>
        <w:widowControl w:val="0"/>
        <w:ind w:left="720"/>
        <w:rPr>
          <w:lang w:val="el-GR"/>
        </w:rPr>
      </w:pPr>
      <w:r w:rsidRPr="006A1D4C">
        <w:rPr>
          <w:lang w:val="el-GR"/>
        </w:rPr>
        <w:t xml:space="preserve">Δ. Τσατσούλης, </w:t>
      </w:r>
      <w:r w:rsidRPr="006A1D4C">
        <w:rPr>
          <w:i/>
          <w:iCs/>
          <w:lang w:val="el-GR"/>
        </w:rPr>
        <w:t>Δυτικό ηγεμονικό “παράδειγμα” και διαπολιτισμικό θέατρο</w:t>
      </w:r>
      <w:r w:rsidRPr="006A1D4C">
        <w:rPr>
          <w:lang w:val="el-GR"/>
        </w:rPr>
        <w:t xml:space="preserve"> (επιλογές).</w:t>
      </w:r>
    </w:p>
    <w:p w14:paraId="1F0CA8F2" w14:textId="7C2EF926" w:rsidR="008F508F" w:rsidRPr="006A1D4C" w:rsidRDefault="00D5133A" w:rsidP="007B7CD4">
      <w:pPr>
        <w:widowControl w:val="0"/>
        <w:ind w:firstLine="720"/>
        <w:jc w:val="both"/>
        <w:rPr>
          <w:lang w:val="el-GR"/>
        </w:rPr>
      </w:pPr>
      <w:r w:rsidRPr="006A1D4C">
        <w:rPr>
          <w:lang w:val="el-GR"/>
        </w:rPr>
        <w:t xml:space="preserve">Τ. Σουζούκι, </w:t>
      </w:r>
      <w:r w:rsidRPr="006A1D4C">
        <w:rPr>
          <w:i/>
          <w:iCs/>
          <w:lang w:val="el-GR"/>
        </w:rPr>
        <w:t>Πολιτισμός είναι το σώμα</w:t>
      </w:r>
      <w:r w:rsidRPr="006A1D4C">
        <w:rPr>
          <w:lang w:val="el-GR"/>
        </w:rPr>
        <w:t xml:space="preserve"> (επιλογές)</w:t>
      </w:r>
    </w:p>
    <w:p w14:paraId="511BD297" w14:textId="7BB3093A" w:rsidR="006A1D4C" w:rsidRPr="00034A64" w:rsidRDefault="006A1D4C" w:rsidP="006A1D4C">
      <w:pPr>
        <w:widowControl w:val="0"/>
        <w:jc w:val="both"/>
        <w:rPr>
          <w:lang w:val="el-GR"/>
        </w:rPr>
      </w:pPr>
      <w:r w:rsidRPr="006A1D4C">
        <w:rPr>
          <w:lang w:val="el-GR"/>
        </w:rPr>
        <w:t>10</w:t>
      </w:r>
      <w:r w:rsidRPr="006A1D4C">
        <w:rPr>
          <w:lang w:val="el-GR"/>
        </w:rPr>
        <w:tab/>
      </w:r>
      <w:r w:rsidRPr="00034A64">
        <w:rPr>
          <w:lang w:val="el-GR"/>
        </w:rPr>
        <w:t>Εκπαιδευτική εκδρομή για παρακολούθηση παράστασης στην Αθήνα (θα οριστεί)</w:t>
      </w:r>
    </w:p>
    <w:p w14:paraId="0187C4BF" w14:textId="77777777" w:rsidR="006A1D4C" w:rsidRPr="00034A64" w:rsidRDefault="006A1D4C" w:rsidP="006A1D4C">
      <w:pPr>
        <w:widowControl w:val="0"/>
        <w:ind w:left="720" w:hanging="720"/>
        <w:jc w:val="both"/>
        <w:rPr>
          <w:lang w:val="el-GR"/>
        </w:rPr>
      </w:pPr>
      <w:r w:rsidRPr="00034A64">
        <w:rPr>
          <w:lang w:val="el-GR"/>
        </w:rPr>
        <w:t>11, 12</w:t>
      </w:r>
      <w:r w:rsidRPr="00034A64">
        <w:rPr>
          <w:lang w:val="el-GR"/>
        </w:rPr>
        <w:tab/>
      </w:r>
      <w:r w:rsidRPr="000947BA">
        <w:rPr>
          <w:lang w:val="el-GR"/>
        </w:rPr>
        <w:t>Προφορικές παρουσιάσεις στην τάξη που θα σχετίζονται με το θέμα της δεύτερης εργασίας.</w:t>
      </w:r>
    </w:p>
    <w:p w14:paraId="64C7673D" w14:textId="3CD6700F" w:rsidR="006A1D4C" w:rsidRDefault="006A1D4C" w:rsidP="006A1D4C">
      <w:pPr>
        <w:widowControl w:val="0"/>
        <w:ind w:left="720" w:hanging="720"/>
        <w:jc w:val="both"/>
      </w:pPr>
      <w:r>
        <w:t xml:space="preserve">13 </w:t>
      </w:r>
      <w:r>
        <w:tab/>
        <w:t>Ανακεφαλαίωση</w:t>
      </w:r>
      <w:r>
        <w:tab/>
      </w:r>
    </w:p>
    <w:p w14:paraId="12D6D85F" w14:textId="77777777" w:rsidR="009E0CFE" w:rsidRDefault="009E0CFE" w:rsidP="006A1D4C">
      <w:pPr>
        <w:widowControl w:val="0"/>
        <w:ind w:left="720" w:hanging="720"/>
        <w:jc w:val="both"/>
      </w:pPr>
    </w:p>
    <w:p w14:paraId="6DA18A80" w14:textId="4E7119E3" w:rsidR="00703981" w:rsidRPr="00703981" w:rsidRDefault="00703981" w:rsidP="006A1D4C">
      <w:pPr>
        <w:widowControl w:val="0"/>
        <w:ind w:left="720" w:hanging="720"/>
        <w:jc w:val="both"/>
        <w:rPr>
          <w:b/>
          <w:bCs/>
          <w:color w:val="074F6A" w:themeColor="accent4" w:themeShade="80"/>
        </w:rPr>
      </w:pPr>
      <w:r w:rsidRPr="00703981">
        <w:rPr>
          <w:b/>
          <w:bCs/>
          <w:color w:val="074F6A" w:themeColor="accent4" w:themeShade="80"/>
        </w:rPr>
        <w:t>Βιβλιογραφία</w:t>
      </w:r>
    </w:p>
    <w:p w14:paraId="0A6B1096" w14:textId="625FA4D8" w:rsidR="00576F29" w:rsidRPr="007B4A00" w:rsidRDefault="00576F29" w:rsidP="00703981">
      <w:pPr>
        <w:pStyle w:val="ListParagraph"/>
        <w:numPr>
          <w:ilvl w:val="0"/>
          <w:numId w:val="6"/>
        </w:numPr>
        <w:spacing w:after="0" w:line="288" w:lineRule="auto"/>
        <w:ind w:right="254"/>
        <w:rPr>
          <w:rFonts w:cs="Calibri"/>
        </w:rPr>
      </w:pPr>
      <w:r>
        <w:rPr>
          <w:rFonts w:cs="Calibri"/>
        </w:rPr>
        <w:t xml:space="preserve">Abramovic, Marina (2010).  </w:t>
      </w:r>
      <w:r w:rsidRPr="00576F29">
        <w:rPr>
          <w:rFonts w:cs="Calibri"/>
          <w:i/>
          <w:iCs/>
        </w:rPr>
        <w:t>The Artist is Present</w:t>
      </w:r>
      <w:r>
        <w:rPr>
          <w:rFonts w:cs="Calibri"/>
        </w:rPr>
        <w:t>.  Exhibition Catalogue.  Museum of Modern Art, New York.</w:t>
      </w:r>
    </w:p>
    <w:p w14:paraId="16D86458" w14:textId="42F2FCE7" w:rsidR="007B4A00" w:rsidRPr="007B4A00" w:rsidRDefault="007B4A00" w:rsidP="00703981">
      <w:pPr>
        <w:pStyle w:val="ListParagraph"/>
        <w:numPr>
          <w:ilvl w:val="0"/>
          <w:numId w:val="6"/>
        </w:numPr>
        <w:spacing w:after="0" w:line="288" w:lineRule="auto"/>
        <w:ind w:right="254"/>
        <w:rPr>
          <w:rFonts w:cs="Calibri"/>
          <w:lang w:val="el-GR"/>
        </w:rPr>
      </w:pPr>
      <w:r>
        <w:rPr>
          <w:rFonts w:cs="Calibri"/>
        </w:rPr>
        <w:t xml:space="preserve">Αδαμοπούλου, Αρετή (2014).  “Εισαγωγή στην ιστορία της περφόρμανς” στο </w:t>
      </w:r>
      <w:r>
        <w:rPr>
          <w:rFonts w:cs="Calibri"/>
          <w:lang w:val="el-GR"/>
        </w:rPr>
        <w:t xml:space="preserve">Α. Αδαμοπούλου (επιμ.) </w:t>
      </w:r>
      <w:r w:rsidRPr="007B4A00">
        <w:rPr>
          <w:rFonts w:cs="Calibri"/>
          <w:i/>
          <w:iCs/>
        </w:rPr>
        <w:t xml:space="preserve">Η γλώσσα του σώματος.  Σημειώσεις για την </w:t>
      </w:r>
      <w:r w:rsidRPr="007B4A00">
        <w:rPr>
          <w:rFonts w:cs="Calibri"/>
          <w:i/>
          <w:iCs/>
          <w:lang w:val="el-GR"/>
        </w:rPr>
        <w:t>περφόρμανς</w:t>
      </w:r>
      <w:r>
        <w:rPr>
          <w:rFonts w:cs="Calibri"/>
          <w:lang w:val="el-GR"/>
        </w:rPr>
        <w:t>.  Πανεπιστήμιο Ιωαννίνων.</w:t>
      </w:r>
    </w:p>
    <w:p w14:paraId="42755E80" w14:textId="31F4764C"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 xml:space="preserve">Aronson, A. (2000). </w:t>
      </w:r>
      <w:r w:rsidRPr="00703981">
        <w:rPr>
          <w:rFonts w:cs="Calibri"/>
          <w:i/>
        </w:rPr>
        <w:t>American Avant-garde Theater: A History</w:t>
      </w:r>
      <w:r w:rsidRPr="00703981">
        <w:rPr>
          <w:rFonts w:cs="Calibri"/>
        </w:rPr>
        <w:t>. London and New York: Routledge.</w:t>
      </w:r>
    </w:p>
    <w:p w14:paraId="2BB72FB0"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lang w:val="el-GR"/>
        </w:rPr>
        <w:t xml:space="preserve">Βαροπούλου, Ε. (2002).  </w:t>
      </w:r>
      <w:r w:rsidRPr="00703981">
        <w:rPr>
          <w:rFonts w:cs="Calibri"/>
          <w:i/>
          <w:lang w:val="el-GR"/>
        </w:rPr>
        <w:t>Το ζωντανό θέατρο</w:t>
      </w:r>
      <w:r w:rsidRPr="00703981">
        <w:rPr>
          <w:rFonts w:cs="Calibri"/>
          <w:lang w:val="el-GR"/>
        </w:rPr>
        <w:t xml:space="preserve">.  </w:t>
      </w:r>
      <w:r w:rsidRPr="00703981">
        <w:rPr>
          <w:rFonts w:cs="Calibri"/>
        </w:rPr>
        <w:t>Αθήνα</w:t>
      </w:r>
      <w:r w:rsidRPr="00703981">
        <w:rPr>
          <w:rFonts w:cs="Calibri"/>
          <w:lang w:val="en-GB"/>
        </w:rPr>
        <w:t>:</w:t>
      </w:r>
      <w:r w:rsidRPr="00703981">
        <w:rPr>
          <w:rFonts w:cs="Calibri"/>
        </w:rPr>
        <w:t xml:space="preserve"> Άγρα.</w:t>
      </w:r>
    </w:p>
    <w:p w14:paraId="2DAD4EF3"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Brook</w:t>
      </w:r>
      <w:r w:rsidRPr="00703981">
        <w:rPr>
          <w:rFonts w:cs="Calibri"/>
          <w:lang w:val="el-GR"/>
        </w:rPr>
        <w:t xml:space="preserve">, </w:t>
      </w:r>
      <w:r w:rsidRPr="00703981">
        <w:rPr>
          <w:rFonts w:cs="Calibri"/>
        </w:rPr>
        <w:t>P</w:t>
      </w:r>
      <w:r w:rsidRPr="00703981">
        <w:rPr>
          <w:rFonts w:cs="Calibri"/>
          <w:lang w:val="el-GR"/>
        </w:rPr>
        <w:t xml:space="preserve">. (2016).  Ο άδειος χώρος.  </w:t>
      </w:r>
      <w:r w:rsidRPr="00703981">
        <w:rPr>
          <w:rFonts w:cs="Calibri"/>
        </w:rPr>
        <w:t xml:space="preserve">Κοάν </w:t>
      </w:r>
    </w:p>
    <w:p w14:paraId="6CBA9C36"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 xml:space="preserve">Carlson, M. 1996). </w:t>
      </w:r>
      <w:r w:rsidRPr="00703981">
        <w:rPr>
          <w:rFonts w:cs="Calibri"/>
          <w:i/>
        </w:rPr>
        <w:t>Performance: A Critical Introduction</w:t>
      </w:r>
      <w:r w:rsidRPr="00703981">
        <w:rPr>
          <w:rFonts w:cs="Calibri"/>
        </w:rPr>
        <w:t>. London and New York</w:t>
      </w:r>
      <w:r w:rsidRPr="00703981">
        <w:rPr>
          <w:rFonts w:cs="Calibri"/>
          <w:lang w:val="en-GB"/>
        </w:rPr>
        <w:t xml:space="preserve">:      </w:t>
      </w:r>
      <w:r w:rsidRPr="00703981">
        <w:rPr>
          <w:rFonts w:cs="Calibri"/>
        </w:rPr>
        <w:t>Routledge.</w:t>
      </w:r>
    </w:p>
    <w:p w14:paraId="4E07BEF3"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 xml:space="preserve">Delgado, M. </w:t>
      </w:r>
      <w:r w:rsidRPr="00703981">
        <w:rPr>
          <w:rFonts w:cs="Calibri"/>
          <w:lang w:val="en-GB"/>
        </w:rPr>
        <w:t>&amp;</w:t>
      </w:r>
      <w:r w:rsidRPr="00703981">
        <w:rPr>
          <w:rFonts w:cs="Calibri"/>
        </w:rPr>
        <w:t xml:space="preserve"> Heritage, P. (1996). </w:t>
      </w:r>
      <w:r w:rsidRPr="00703981">
        <w:rPr>
          <w:rFonts w:cs="Calibri"/>
          <w:i/>
        </w:rPr>
        <w:t>In Contact with the Gods? Directors Talk Theater</w:t>
      </w:r>
      <w:r w:rsidRPr="00703981">
        <w:rPr>
          <w:rFonts w:cs="Calibri"/>
        </w:rPr>
        <w:t>. Manchester and New York</w:t>
      </w:r>
      <w:r w:rsidRPr="00703981">
        <w:rPr>
          <w:rFonts w:cs="Calibri"/>
          <w:lang w:val="en-GB"/>
        </w:rPr>
        <w:t>:</w:t>
      </w:r>
      <w:r w:rsidRPr="00703981">
        <w:rPr>
          <w:rFonts w:cs="Calibri"/>
        </w:rPr>
        <w:t xml:space="preserve"> Manchester University Press.</w:t>
      </w:r>
      <w:r w:rsidRPr="00703981">
        <w:rPr>
          <w:rFonts w:cs="Calibri"/>
          <w:highlight w:val="red"/>
        </w:rPr>
        <w:t xml:space="preserve"> </w:t>
      </w:r>
    </w:p>
    <w:p w14:paraId="1A354985"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Kiernander, A. (1993)</w:t>
      </w:r>
      <w:r w:rsidRPr="00703981">
        <w:rPr>
          <w:rFonts w:cs="Calibri"/>
          <w:lang w:val="en-GB"/>
        </w:rPr>
        <w:t>.</w:t>
      </w:r>
      <w:r w:rsidRPr="00703981">
        <w:rPr>
          <w:rFonts w:cs="Calibri"/>
          <w:i/>
        </w:rPr>
        <w:t>Ariane Mnouchkine and the Theatre du Soleil</w:t>
      </w:r>
      <w:r w:rsidRPr="00703981">
        <w:rPr>
          <w:rFonts w:cs="Calibri"/>
        </w:rPr>
        <w:t>.  Cambridge and New York</w:t>
      </w:r>
      <w:r w:rsidRPr="00703981">
        <w:rPr>
          <w:rFonts w:cs="Calibri"/>
          <w:lang w:val="en-GB"/>
        </w:rPr>
        <w:t>:</w:t>
      </w:r>
      <w:r w:rsidRPr="00703981">
        <w:rPr>
          <w:rFonts w:cs="Calibri"/>
        </w:rPr>
        <w:t xml:space="preserve"> Cambridge University Press. </w:t>
      </w:r>
    </w:p>
    <w:p w14:paraId="0952339C" w14:textId="77777777" w:rsidR="00703981" w:rsidRPr="00703981" w:rsidRDefault="00703981" w:rsidP="00703981">
      <w:pPr>
        <w:pStyle w:val="ListParagraph"/>
        <w:numPr>
          <w:ilvl w:val="0"/>
          <w:numId w:val="7"/>
        </w:numPr>
        <w:spacing w:after="200" w:line="288" w:lineRule="auto"/>
        <w:ind w:right="254"/>
        <w:rPr>
          <w:rFonts w:cs="Calibri"/>
          <w:lang w:val="en-GB" w:eastAsia="en-GB"/>
        </w:rPr>
      </w:pPr>
      <w:hyperlink r:id="rId16" w:history="1">
        <w:r w:rsidRPr="00703981">
          <w:rPr>
            <w:rFonts w:cs="Calibri"/>
            <w:lang w:val="en-GB"/>
          </w:rPr>
          <w:t>Lehmann</w:t>
        </w:r>
      </w:hyperlink>
      <w:r w:rsidRPr="00703981">
        <w:rPr>
          <w:rFonts w:cs="Calibri"/>
        </w:rPr>
        <w:t>,</w:t>
      </w:r>
      <w:r w:rsidRPr="00703981">
        <w:rPr>
          <w:rFonts w:cs="Calibri"/>
          <w:lang w:val="en-GB"/>
        </w:rPr>
        <w:t>Hans-Thies</w:t>
      </w:r>
      <w:r w:rsidRPr="00703981">
        <w:rPr>
          <w:rFonts w:cs="Calibri"/>
        </w:rPr>
        <w:t xml:space="preserve">, </w:t>
      </w:r>
      <w:r w:rsidRPr="00703981">
        <w:rPr>
          <w:rFonts w:cs="Calibri"/>
          <w:bCs/>
          <w:i/>
          <w:color w:val="000000"/>
          <w:lang w:val="en-GB"/>
        </w:rPr>
        <w:t>Postdramatic Theatre</w:t>
      </w:r>
      <w:r w:rsidRPr="00703981">
        <w:rPr>
          <w:rFonts w:cs="Calibri"/>
          <w:bCs/>
          <w:color w:val="000000"/>
          <w:lang w:val="en-GB"/>
        </w:rPr>
        <w:t xml:space="preserve">, </w:t>
      </w:r>
      <w:r w:rsidRPr="00703981">
        <w:rPr>
          <w:rFonts w:cs="Calibri"/>
          <w:iCs/>
          <w:lang w:val="en-GB" w:eastAsia="en-GB"/>
        </w:rPr>
        <w:t>London:</w:t>
      </w:r>
      <w:r w:rsidRPr="00703981">
        <w:rPr>
          <w:rFonts w:cs="Calibri"/>
          <w:lang w:val="en-GB" w:eastAsia="en-GB"/>
        </w:rPr>
        <w:t xml:space="preserve"> Routledge, 2006.</w:t>
      </w:r>
    </w:p>
    <w:p w14:paraId="3192954E" w14:textId="77777777" w:rsidR="00703981" w:rsidRPr="00703981" w:rsidRDefault="00703981" w:rsidP="00703981">
      <w:pPr>
        <w:pStyle w:val="ListParagraph"/>
        <w:numPr>
          <w:ilvl w:val="0"/>
          <w:numId w:val="7"/>
        </w:numPr>
        <w:spacing w:after="200" w:line="288" w:lineRule="auto"/>
        <w:ind w:right="254"/>
        <w:rPr>
          <w:rFonts w:cs="Calibri"/>
          <w:lang w:val="el-GR" w:eastAsia="en-GB"/>
        </w:rPr>
      </w:pPr>
      <w:r w:rsidRPr="00703981">
        <w:rPr>
          <w:rFonts w:cstheme="minorHAnsi"/>
          <w:lang w:val="el-GR"/>
        </w:rPr>
        <w:t>Κοτζαμάνη Μ. (2021) «</w:t>
      </w:r>
      <w:r w:rsidRPr="00703981">
        <w:rPr>
          <w:rFonts w:cstheme="minorHAnsi"/>
        </w:rPr>
        <w:t>Emily</w:t>
      </w:r>
      <w:r w:rsidRPr="00703981">
        <w:rPr>
          <w:rFonts w:cstheme="minorHAnsi"/>
          <w:lang w:val="el-GR"/>
        </w:rPr>
        <w:t xml:space="preserve"> </w:t>
      </w:r>
      <w:r w:rsidRPr="00703981">
        <w:rPr>
          <w:rFonts w:cstheme="minorHAnsi"/>
        </w:rPr>
        <w:t>Jacir</w:t>
      </w:r>
      <w:r w:rsidRPr="00703981">
        <w:rPr>
          <w:rFonts w:cstheme="minorHAnsi"/>
          <w:lang w:val="el-GR"/>
        </w:rPr>
        <w:t xml:space="preserve"> και </w:t>
      </w:r>
      <w:r w:rsidRPr="00703981">
        <w:rPr>
          <w:rFonts w:cstheme="minorHAnsi"/>
        </w:rPr>
        <w:t>Sophie</w:t>
      </w:r>
      <w:r w:rsidRPr="00703981">
        <w:rPr>
          <w:rFonts w:cstheme="minorHAnsi"/>
          <w:lang w:val="el-GR"/>
        </w:rPr>
        <w:t xml:space="preserve"> </w:t>
      </w:r>
      <w:r w:rsidRPr="00703981">
        <w:rPr>
          <w:rFonts w:cstheme="minorHAnsi"/>
        </w:rPr>
        <w:t>Calle</w:t>
      </w:r>
      <w:r w:rsidRPr="00703981">
        <w:rPr>
          <w:rFonts w:cstheme="minorHAnsi"/>
          <w:lang w:val="el-GR"/>
        </w:rPr>
        <w:t xml:space="preserve">: καταστολή, παράβαση και συλλογικότητα στη σύγχρονη τέχνη», στο </w:t>
      </w:r>
      <w:r w:rsidRPr="00703981">
        <w:rPr>
          <w:rFonts w:cstheme="minorHAnsi"/>
          <w:i/>
          <w:lang w:val="el-GR"/>
        </w:rPr>
        <w:t>Θέατρο και Ετερότητα.  Πρακτικά του  Έκτου Πανελλήνιου Θεατρολογικού Συνεδρίου</w:t>
      </w:r>
      <w:r w:rsidRPr="00703981">
        <w:rPr>
          <w:rFonts w:cstheme="minorHAnsi"/>
          <w:lang w:val="el-GR"/>
        </w:rPr>
        <w:t xml:space="preserve"> Έντυπη και ηλεκτρονική έκδοση Πανεπιστήμιο Πελοποννήσου</w:t>
      </w:r>
    </w:p>
    <w:p w14:paraId="5F769C90" w14:textId="77777777" w:rsidR="00703981" w:rsidRPr="00703981" w:rsidRDefault="00703981" w:rsidP="00703981">
      <w:pPr>
        <w:pStyle w:val="ListParagraph"/>
        <w:numPr>
          <w:ilvl w:val="0"/>
          <w:numId w:val="7"/>
        </w:numPr>
        <w:spacing w:after="200" w:line="288" w:lineRule="auto"/>
        <w:ind w:right="254"/>
        <w:rPr>
          <w:rFonts w:cs="Calibri"/>
          <w:lang w:eastAsia="en-GB"/>
        </w:rPr>
      </w:pPr>
      <w:r w:rsidRPr="00703981">
        <w:t xml:space="preserve">Kotzamani, M. (2017) “Under the starry night: Darkness, Community and Theatricality in Iannis Xenakis's </w:t>
      </w:r>
      <w:r w:rsidRPr="00703981">
        <w:rPr>
          <w:i/>
        </w:rPr>
        <w:t>Mycenae Polytopon</w:t>
      </w:r>
      <w:r w:rsidRPr="00703981">
        <w:t>” in</w:t>
      </w:r>
      <w:r w:rsidRPr="00703981">
        <w:rPr>
          <w:b/>
        </w:rPr>
        <w:t xml:space="preserve"> </w:t>
      </w:r>
      <w:r w:rsidRPr="00703981">
        <w:rPr>
          <w:i/>
          <w:iCs/>
          <w:color w:val="212121"/>
          <w:shd w:val="clear" w:color="auto" w:fill="FFFFFF"/>
        </w:rPr>
        <w:t xml:space="preserve">Theatre in the Dark: Shadow, Gloom and Blackout in Contemporary Theatre. </w:t>
      </w:r>
      <w:r w:rsidRPr="00703981">
        <w:rPr>
          <w:iCs/>
          <w:color w:val="212121"/>
          <w:shd w:val="clear" w:color="auto" w:fill="FFFFFF"/>
        </w:rPr>
        <w:t>Bloomsbury.</w:t>
      </w:r>
    </w:p>
    <w:p w14:paraId="6461283C"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 xml:space="preserve">Mitter, Sh. </w:t>
      </w:r>
      <w:r w:rsidRPr="00703981">
        <w:rPr>
          <w:rFonts w:cs="Calibri"/>
          <w:lang w:val="en-GB"/>
        </w:rPr>
        <w:t>&amp;</w:t>
      </w:r>
      <w:r w:rsidRPr="00703981">
        <w:rPr>
          <w:rFonts w:cs="Calibri"/>
        </w:rPr>
        <w:t xml:space="preserve"> Shevtsova</w:t>
      </w:r>
      <w:r w:rsidRPr="00703981">
        <w:rPr>
          <w:rFonts w:cs="Calibri"/>
          <w:lang w:val="en-GB"/>
        </w:rPr>
        <w:t>,</w:t>
      </w:r>
      <w:r w:rsidRPr="00703981">
        <w:rPr>
          <w:rFonts w:cs="Calibri"/>
        </w:rPr>
        <w:t xml:space="preserve"> M. (2005). </w:t>
      </w:r>
      <w:r w:rsidRPr="00703981">
        <w:rPr>
          <w:rFonts w:cs="Calibri"/>
          <w:i/>
        </w:rPr>
        <w:t>Fifty Key Theatre Directors</w:t>
      </w:r>
      <w:r w:rsidRPr="00703981">
        <w:rPr>
          <w:rFonts w:cs="Calibri"/>
        </w:rPr>
        <w:t>. LondonandNewYork: Routledge.</w:t>
      </w:r>
    </w:p>
    <w:p w14:paraId="7E518386"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lang w:val="el-GR"/>
        </w:rPr>
        <w:t xml:space="preserve">Παπάζογλου, Ε. (2014).  Το πρόσωπο του πένθους.  Η Ηλέκτρα του Σοφοκλή ανάμεσα στο κείμενο και την παράσταση. </w:t>
      </w:r>
      <w:r w:rsidRPr="00703981">
        <w:rPr>
          <w:rFonts w:cs="Calibri"/>
        </w:rPr>
        <w:t>Πόλις.</w:t>
      </w:r>
    </w:p>
    <w:p w14:paraId="182FA3F1"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lang w:val="el-GR"/>
        </w:rPr>
        <w:t xml:space="preserve">Πατσαλίδης, Σ. (2012). </w:t>
      </w:r>
      <w:r w:rsidRPr="00703981">
        <w:rPr>
          <w:rFonts w:cs="Calibri"/>
          <w:i/>
          <w:lang w:val="el-GR"/>
        </w:rPr>
        <w:t>Θέατρο και Παγκοσμιοποίηση</w:t>
      </w:r>
      <w:r w:rsidRPr="00703981">
        <w:rPr>
          <w:rFonts w:cs="Calibri"/>
          <w:lang w:val="el-GR"/>
        </w:rPr>
        <w:t xml:space="preserve">. </w:t>
      </w:r>
      <w:r w:rsidRPr="00703981">
        <w:rPr>
          <w:rFonts w:cs="Calibri"/>
        </w:rPr>
        <w:t xml:space="preserve">Αθήνα: Παπαζήσης. </w:t>
      </w:r>
    </w:p>
    <w:p w14:paraId="76B11C8E"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lang w:val="el-GR"/>
        </w:rPr>
        <w:t xml:space="preserve">Πατσαλίδης, Σ. (2004). </w:t>
      </w:r>
      <w:r w:rsidRPr="00703981">
        <w:rPr>
          <w:rFonts w:cs="Calibri"/>
          <w:i/>
          <w:lang w:val="el-GR"/>
        </w:rPr>
        <w:t>Από την αναπαράσταση στην παράσταση</w:t>
      </w:r>
      <w:r w:rsidRPr="00703981">
        <w:rPr>
          <w:rFonts w:cs="Calibri"/>
          <w:lang w:val="el-GR"/>
        </w:rPr>
        <w:t xml:space="preserve">.  </w:t>
      </w:r>
      <w:r w:rsidRPr="00703981">
        <w:rPr>
          <w:rFonts w:cs="Calibri"/>
        </w:rPr>
        <w:t>Αθήνα: Ελληνικά Γράμματα.</w:t>
      </w:r>
    </w:p>
    <w:p w14:paraId="03A162C9"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 xml:space="preserve">Shevtsova, M. (2007). </w:t>
      </w:r>
      <w:r w:rsidRPr="00703981">
        <w:rPr>
          <w:rFonts w:cs="Calibri"/>
          <w:i/>
        </w:rPr>
        <w:t>Robert Wilson</w:t>
      </w:r>
      <w:r w:rsidRPr="00703981">
        <w:rPr>
          <w:rFonts w:cs="Calibri"/>
        </w:rPr>
        <w:t>. London and New York</w:t>
      </w:r>
      <w:r w:rsidRPr="00703981">
        <w:rPr>
          <w:rFonts w:cs="Calibri"/>
          <w:lang w:val="en-GB"/>
        </w:rPr>
        <w:t>:</w:t>
      </w:r>
      <w:r w:rsidRPr="00703981">
        <w:rPr>
          <w:rFonts w:cs="Calibri"/>
        </w:rPr>
        <w:t xml:space="preserve"> Routledge.</w:t>
      </w:r>
    </w:p>
    <w:p w14:paraId="61575B69"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Suzuki</w:t>
      </w:r>
      <w:r w:rsidRPr="00703981">
        <w:rPr>
          <w:rFonts w:cs="Calibri"/>
          <w:lang w:val="el-GR"/>
        </w:rPr>
        <w:t xml:space="preserve"> </w:t>
      </w:r>
      <w:r w:rsidRPr="00703981">
        <w:rPr>
          <w:rFonts w:cs="Calibri"/>
        </w:rPr>
        <w:t>T</w:t>
      </w:r>
      <w:r w:rsidRPr="00703981">
        <w:rPr>
          <w:rFonts w:cs="Calibri"/>
          <w:lang w:val="el-GR"/>
        </w:rPr>
        <w:t xml:space="preserve">. (2024) Πολιτισμός είναι το σώμα.  </w:t>
      </w:r>
      <w:r w:rsidRPr="00703981">
        <w:rPr>
          <w:rFonts w:cs="Calibri"/>
        </w:rPr>
        <w:t>Κείμενα</w:t>
      </w:r>
    </w:p>
    <w:p w14:paraId="6F5AB34B" w14:textId="77777777" w:rsidR="00703981" w:rsidRPr="00703981" w:rsidRDefault="00703981" w:rsidP="00703981">
      <w:pPr>
        <w:pStyle w:val="ListParagraph"/>
        <w:numPr>
          <w:ilvl w:val="0"/>
          <w:numId w:val="6"/>
        </w:numPr>
        <w:spacing w:after="0" w:line="288" w:lineRule="auto"/>
        <w:ind w:right="254"/>
        <w:rPr>
          <w:rFonts w:cs="Calibri"/>
        </w:rPr>
      </w:pPr>
      <w:r w:rsidRPr="00703981">
        <w:rPr>
          <w:rFonts w:cs="Calibri"/>
        </w:rPr>
        <w:t>Suzuki, T. (1990).  The way of acting.  Nick Hern Books.</w:t>
      </w:r>
    </w:p>
    <w:p w14:paraId="059D3085" w14:textId="77777777" w:rsidR="00703981" w:rsidRPr="00703981" w:rsidRDefault="00703981" w:rsidP="00703981">
      <w:pPr>
        <w:pStyle w:val="ListParagraph"/>
        <w:numPr>
          <w:ilvl w:val="0"/>
          <w:numId w:val="6"/>
        </w:numPr>
        <w:spacing w:after="0" w:line="288" w:lineRule="auto"/>
        <w:ind w:right="254"/>
        <w:rPr>
          <w:rFonts w:cs="Calibri"/>
          <w:lang w:val="el-GR"/>
        </w:rPr>
      </w:pPr>
      <w:r w:rsidRPr="00703981">
        <w:rPr>
          <w:rFonts w:eastAsia="Calibri" w:cs="Calibri"/>
          <w:lang w:val="el-GR"/>
        </w:rPr>
        <w:t xml:space="preserve">Τσατσούλης, Δ. (2011). </w:t>
      </w:r>
      <w:r w:rsidRPr="00703981">
        <w:rPr>
          <w:rFonts w:eastAsia="Calibri" w:cs="Calibri"/>
          <w:i/>
          <w:lang w:val="el-GR"/>
        </w:rPr>
        <w:t>Διάλογος Εικόνων</w:t>
      </w:r>
      <w:r w:rsidRPr="00703981">
        <w:rPr>
          <w:rFonts w:eastAsia="Calibri" w:cs="Calibri"/>
          <w:lang w:val="el-GR"/>
        </w:rPr>
        <w:t>. Αθήνα: Παπαζήσης.</w:t>
      </w:r>
    </w:p>
    <w:p w14:paraId="7A5B23EC" w14:textId="77777777" w:rsidR="00703981" w:rsidRPr="00703981" w:rsidRDefault="00703981" w:rsidP="00703981">
      <w:pPr>
        <w:pStyle w:val="ListParagraph"/>
        <w:numPr>
          <w:ilvl w:val="0"/>
          <w:numId w:val="6"/>
        </w:numPr>
        <w:spacing w:after="0" w:line="288" w:lineRule="auto"/>
        <w:ind w:right="254"/>
        <w:rPr>
          <w:rFonts w:cs="Calibri"/>
        </w:rPr>
      </w:pPr>
      <w:r w:rsidRPr="00703981">
        <w:rPr>
          <w:iCs/>
          <w:lang w:val="el-GR"/>
        </w:rPr>
        <w:t>Τσατσούλης, Δ.</w:t>
      </w:r>
      <w:r w:rsidRPr="00703981">
        <w:rPr>
          <w:i/>
          <w:lang w:val="el-GR"/>
        </w:rPr>
        <w:t xml:space="preserve"> </w:t>
      </w:r>
      <w:r w:rsidRPr="00703981">
        <w:rPr>
          <w:i/>
          <w:iCs/>
          <w:lang w:val="el-GR"/>
        </w:rPr>
        <w:t xml:space="preserve">Δυτικό ηγεμονικό «παράδειγμα» και διαπολιτισμικό θέατρο. </w:t>
      </w:r>
      <w:r w:rsidRPr="00703981">
        <w:rPr>
          <w:iCs/>
        </w:rPr>
        <w:t>Εκδόσεις Παπαζήση, Αθήνα, 2017.</w:t>
      </w:r>
    </w:p>
    <w:p w14:paraId="03246C05" w14:textId="2B9F57BB" w:rsidR="009E0CFE" w:rsidRPr="00703981" w:rsidRDefault="009E0CFE" w:rsidP="006A1D4C">
      <w:pPr>
        <w:widowControl w:val="0"/>
        <w:ind w:left="720" w:hanging="720"/>
        <w:jc w:val="both"/>
      </w:pPr>
    </w:p>
    <w:p w14:paraId="15BAF718" w14:textId="77777777" w:rsidR="009E0CFE" w:rsidRPr="009E0CFE" w:rsidRDefault="009E0CFE" w:rsidP="006A1D4C">
      <w:pPr>
        <w:widowControl w:val="0"/>
        <w:ind w:left="720" w:hanging="720"/>
        <w:jc w:val="both"/>
      </w:pPr>
    </w:p>
    <w:p w14:paraId="10EF9801" w14:textId="701C7F01" w:rsidR="006A1D4C" w:rsidRPr="006A1D4C" w:rsidRDefault="006A1D4C" w:rsidP="006A1D4C">
      <w:pPr>
        <w:widowControl w:val="0"/>
        <w:ind w:left="720" w:hanging="720"/>
        <w:jc w:val="both"/>
      </w:pPr>
    </w:p>
    <w:p w14:paraId="60B2CECD" w14:textId="50937627" w:rsidR="006A1D4C" w:rsidRPr="006A1D4C" w:rsidRDefault="006A1D4C" w:rsidP="006A1D4C">
      <w:pPr>
        <w:widowControl w:val="0"/>
        <w:jc w:val="both"/>
        <w:rPr>
          <w:lang w:val="el-GR"/>
        </w:rPr>
      </w:pPr>
    </w:p>
    <w:p w14:paraId="09C713F7" w14:textId="5B196F6D" w:rsidR="007B7CD4" w:rsidRPr="006A1D4C" w:rsidRDefault="007B7CD4" w:rsidP="007B7CD4">
      <w:pPr>
        <w:widowControl w:val="0"/>
        <w:ind w:firstLine="720"/>
        <w:jc w:val="both"/>
        <w:rPr>
          <w:lang w:val="el-GR"/>
        </w:rPr>
      </w:pPr>
    </w:p>
    <w:p w14:paraId="602C287A" w14:textId="77777777" w:rsidR="007B7CD4" w:rsidRPr="006A1D4C" w:rsidRDefault="007B7CD4" w:rsidP="007B7CD4">
      <w:pPr>
        <w:widowControl w:val="0"/>
        <w:ind w:firstLine="720"/>
        <w:jc w:val="both"/>
        <w:rPr>
          <w:i/>
          <w:lang w:val="el-GR"/>
        </w:rPr>
      </w:pPr>
    </w:p>
    <w:p w14:paraId="6E2CAEE1" w14:textId="77777777" w:rsidR="007B7CD4" w:rsidRPr="006A1D4C" w:rsidRDefault="007B7CD4" w:rsidP="007B7CD4">
      <w:pPr>
        <w:widowControl w:val="0"/>
        <w:ind w:firstLine="720"/>
        <w:jc w:val="both"/>
        <w:rPr>
          <w:lang w:val="el-GR"/>
        </w:rPr>
      </w:pPr>
    </w:p>
    <w:p w14:paraId="6799F12B" w14:textId="77777777" w:rsidR="007B7CD4" w:rsidRPr="006A1D4C" w:rsidRDefault="007B7CD4" w:rsidP="000947BA">
      <w:pPr>
        <w:widowControl w:val="0"/>
        <w:ind w:left="720"/>
        <w:jc w:val="both"/>
        <w:rPr>
          <w:lang w:val="el-GR"/>
        </w:rPr>
      </w:pPr>
    </w:p>
    <w:p w14:paraId="5B5BB834" w14:textId="77777777" w:rsidR="00013350" w:rsidRPr="00013350" w:rsidRDefault="00013350">
      <w:pPr>
        <w:rPr>
          <w:lang w:val="el-GR"/>
        </w:rPr>
      </w:pPr>
    </w:p>
    <w:sectPr w:rsidR="00013350" w:rsidRPr="0001335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99D6" w14:textId="77777777" w:rsidR="00027A9A" w:rsidRDefault="00027A9A" w:rsidP="000947BA">
      <w:pPr>
        <w:spacing w:after="0" w:line="240" w:lineRule="auto"/>
      </w:pPr>
      <w:r>
        <w:separator/>
      </w:r>
    </w:p>
  </w:endnote>
  <w:endnote w:type="continuationSeparator" w:id="0">
    <w:p w14:paraId="2206B467" w14:textId="77777777" w:rsidR="00027A9A" w:rsidRDefault="00027A9A" w:rsidP="0009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A11D" w14:textId="77777777" w:rsidR="00027A9A" w:rsidRDefault="00027A9A" w:rsidP="000947BA">
      <w:pPr>
        <w:spacing w:after="0" w:line="240" w:lineRule="auto"/>
      </w:pPr>
      <w:r>
        <w:separator/>
      </w:r>
    </w:p>
  </w:footnote>
  <w:footnote w:type="continuationSeparator" w:id="0">
    <w:p w14:paraId="663DA54A" w14:textId="77777777" w:rsidR="00027A9A" w:rsidRDefault="00027A9A" w:rsidP="000947BA">
      <w:pPr>
        <w:spacing w:after="0" w:line="240" w:lineRule="auto"/>
      </w:pPr>
      <w:r>
        <w:continuationSeparator/>
      </w:r>
    </w:p>
  </w:footnote>
  <w:footnote w:id="1">
    <w:p w14:paraId="40886252" w14:textId="77777777" w:rsidR="000947BA" w:rsidRDefault="000947BA" w:rsidP="000947BA">
      <w:pPr>
        <w:pStyle w:val="FootnoteText"/>
      </w:pPr>
      <w:r>
        <w:rPr>
          <w:rStyle w:val="FootnoteReference"/>
          <w:rFonts w:eastAsiaTheme="majorEastAsia"/>
        </w:rPr>
        <w:footnoteRef/>
      </w:r>
      <w:r>
        <w:t xml:space="preserve">  Ενδέχεται να υπάρξουν μικρές αλλαγές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99958"/>
      <w:docPartObj>
        <w:docPartGallery w:val="Page Numbers (Top of Page)"/>
        <w:docPartUnique/>
      </w:docPartObj>
    </w:sdtPr>
    <w:sdtEndPr>
      <w:rPr>
        <w:noProof/>
      </w:rPr>
    </w:sdtEndPr>
    <w:sdtContent>
      <w:p w14:paraId="4F474AB7" w14:textId="0A7D1AAC" w:rsidR="000234B7" w:rsidRDefault="000234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819C8D" w14:textId="77777777" w:rsidR="000234B7" w:rsidRDefault="0002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30F"/>
    <w:multiLevelType w:val="hybridMultilevel"/>
    <w:tmpl w:val="16C8798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0F216D"/>
    <w:multiLevelType w:val="hybridMultilevel"/>
    <w:tmpl w:val="486A707C"/>
    <w:lvl w:ilvl="0" w:tplc="DD0472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F40D6"/>
    <w:multiLevelType w:val="hybridMultilevel"/>
    <w:tmpl w:val="93967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DF45FCD"/>
    <w:multiLevelType w:val="hybridMultilevel"/>
    <w:tmpl w:val="FBEC4A6C"/>
    <w:lvl w:ilvl="0" w:tplc="AC222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802C3"/>
    <w:multiLevelType w:val="hybridMultilevel"/>
    <w:tmpl w:val="7F264D18"/>
    <w:lvl w:ilvl="0" w:tplc="98D483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BB64CC"/>
    <w:multiLevelType w:val="hybridMultilevel"/>
    <w:tmpl w:val="B9022C5C"/>
    <w:lvl w:ilvl="0" w:tplc="3A2C0702">
      <w:start w:val="4"/>
      <w:numFmt w:val="bullet"/>
      <w:lvlText w:val=""/>
      <w:lvlJc w:val="left"/>
      <w:pPr>
        <w:ind w:left="360" w:hanging="360"/>
      </w:pPr>
      <w:rPr>
        <w:rFonts w:ascii="Wingdings" w:eastAsia="Arial Unicode MS" w:hAnsi="Wingdings" w:hint="default"/>
        <w:color w:val="auto"/>
        <w:lang w:val="en-G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97A3E13"/>
    <w:multiLevelType w:val="hybridMultilevel"/>
    <w:tmpl w:val="27EA9EEE"/>
    <w:lvl w:ilvl="0" w:tplc="05C47C06">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28610393">
    <w:abstractNumId w:val="2"/>
  </w:num>
  <w:num w:numId="2" w16cid:durableId="1612203701">
    <w:abstractNumId w:val="0"/>
  </w:num>
  <w:num w:numId="3" w16cid:durableId="721904135">
    <w:abstractNumId w:val="1"/>
  </w:num>
  <w:num w:numId="4" w16cid:durableId="1697342188">
    <w:abstractNumId w:val="4"/>
  </w:num>
  <w:num w:numId="5" w16cid:durableId="1904219249">
    <w:abstractNumId w:val="3"/>
  </w:num>
  <w:num w:numId="6" w16cid:durableId="695237351">
    <w:abstractNumId w:val="5"/>
  </w:num>
  <w:num w:numId="7" w16cid:durableId="1931818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E1"/>
    <w:rsid w:val="00013350"/>
    <w:rsid w:val="000234B7"/>
    <w:rsid w:val="00027A9A"/>
    <w:rsid w:val="00034A64"/>
    <w:rsid w:val="000947BA"/>
    <w:rsid w:val="001006FA"/>
    <w:rsid w:val="00162975"/>
    <w:rsid w:val="00173BBC"/>
    <w:rsid w:val="0025674A"/>
    <w:rsid w:val="00294A40"/>
    <w:rsid w:val="002B76E1"/>
    <w:rsid w:val="003570DA"/>
    <w:rsid w:val="003D63D0"/>
    <w:rsid w:val="0043376A"/>
    <w:rsid w:val="0045750B"/>
    <w:rsid w:val="00576F29"/>
    <w:rsid w:val="005B6862"/>
    <w:rsid w:val="00613BE0"/>
    <w:rsid w:val="006436AE"/>
    <w:rsid w:val="006A063C"/>
    <w:rsid w:val="006A1D4C"/>
    <w:rsid w:val="006D13FC"/>
    <w:rsid w:val="006F7A17"/>
    <w:rsid w:val="00703981"/>
    <w:rsid w:val="007228BC"/>
    <w:rsid w:val="007B4A00"/>
    <w:rsid w:val="007B7CD4"/>
    <w:rsid w:val="008F508F"/>
    <w:rsid w:val="009038D3"/>
    <w:rsid w:val="009E0CFE"/>
    <w:rsid w:val="00A65277"/>
    <w:rsid w:val="00A77D54"/>
    <w:rsid w:val="00AD5478"/>
    <w:rsid w:val="00B4028B"/>
    <w:rsid w:val="00B7419D"/>
    <w:rsid w:val="00C27C69"/>
    <w:rsid w:val="00D16B5D"/>
    <w:rsid w:val="00D5133A"/>
    <w:rsid w:val="00E05354"/>
    <w:rsid w:val="00E076EB"/>
    <w:rsid w:val="00E64AFF"/>
    <w:rsid w:val="00EB4AC6"/>
    <w:rsid w:val="00F02BA4"/>
    <w:rsid w:val="00F25896"/>
    <w:rsid w:val="00F53DEF"/>
    <w:rsid w:val="00FA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1DE3"/>
  <w15:chartTrackingRefBased/>
  <w15:docId w15:val="{D4D146FA-56F7-4796-8C6C-A5161681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6E1"/>
    <w:rPr>
      <w:rFonts w:eastAsiaTheme="majorEastAsia" w:cstheme="majorBidi"/>
      <w:color w:val="272727" w:themeColor="text1" w:themeTint="D8"/>
    </w:rPr>
  </w:style>
  <w:style w:type="paragraph" w:styleId="Title">
    <w:name w:val="Title"/>
    <w:basedOn w:val="Normal"/>
    <w:next w:val="Normal"/>
    <w:link w:val="TitleChar"/>
    <w:uiPriority w:val="10"/>
    <w:qFormat/>
    <w:rsid w:val="002B7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6E1"/>
    <w:pPr>
      <w:spacing w:before="160"/>
      <w:jc w:val="center"/>
    </w:pPr>
    <w:rPr>
      <w:i/>
      <w:iCs/>
      <w:color w:val="404040" w:themeColor="text1" w:themeTint="BF"/>
    </w:rPr>
  </w:style>
  <w:style w:type="character" w:customStyle="1" w:styleId="QuoteChar">
    <w:name w:val="Quote Char"/>
    <w:basedOn w:val="DefaultParagraphFont"/>
    <w:link w:val="Quote"/>
    <w:uiPriority w:val="29"/>
    <w:rsid w:val="002B76E1"/>
    <w:rPr>
      <w:i/>
      <w:iCs/>
      <w:color w:val="404040" w:themeColor="text1" w:themeTint="BF"/>
    </w:rPr>
  </w:style>
  <w:style w:type="paragraph" w:styleId="ListParagraph">
    <w:name w:val="List Paragraph"/>
    <w:basedOn w:val="Normal"/>
    <w:uiPriority w:val="99"/>
    <w:qFormat/>
    <w:rsid w:val="002B76E1"/>
    <w:pPr>
      <w:ind w:left="720"/>
      <w:contextualSpacing/>
    </w:pPr>
  </w:style>
  <w:style w:type="character" w:styleId="IntenseEmphasis">
    <w:name w:val="Intense Emphasis"/>
    <w:basedOn w:val="DefaultParagraphFont"/>
    <w:uiPriority w:val="21"/>
    <w:qFormat/>
    <w:rsid w:val="002B76E1"/>
    <w:rPr>
      <w:i/>
      <w:iCs/>
      <w:color w:val="0F4761" w:themeColor="accent1" w:themeShade="BF"/>
    </w:rPr>
  </w:style>
  <w:style w:type="paragraph" w:styleId="IntenseQuote">
    <w:name w:val="Intense Quote"/>
    <w:basedOn w:val="Normal"/>
    <w:next w:val="Normal"/>
    <w:link w:val="IntenseQuoteChar"/>
    <w:uiPriority w:val="30"/>
    <w:qFormat/>
    <w:rsid w:val="002B7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6E1"/>
    <w:rPr>
      <w:i/>
      <w:iCs/>
      <w:color w:val="0F4761" w:themeColor="accent1" w:themeShade="BF"/>
    </w:rPr>
  </w:style>
  <w:style w:type="character" w:styleId="IntenseReference">
    <w:name w:val="Intense Reference"/>
    <w:basedOn w:val="DefaultParagraphFont"/>
    <w:uiPriority w:val="32"/>
    <w:qFormat/>
    <w:rsid w:val="002B76E1"/>
    <w:rPr>
      <w:b/>
      <w:bCs/>
      <w:smallCaps/>
      <w:color w:val="0F4761" w:themeColor="accent1" w:themeShade="BF"/>
      <w:spacing w:val="5"/>
    </w:rPr>
  </w:style>
  <w:style w:type="character" w:styleId="Hyperlink">
    <w:name w:val="Hyperlink"/>
    <w:basedOn w:val="DefaultParagraphFont"/>
    <w:uiPriority w:val="99"/>
    <w:unhideWhenUsed/>
    <w:rsid w:val="0045750B"/>
    <w:rPr>
      <w:color w:val="467886" w:themeColor="hyperlink"/>
      <w:u w:val="single"/>
    </w:rPr>
  </w:style>
  <w:style w:type="character" w:styleId="UnresolvedMention">
    <w:name w:val="Unresolved Mention"/>
    <w:basedOn w:val="DefaultParagraphFont"/>
    <w:uiPriority w:val="99"/>
    <w:semiHidden/>
    <w:unhideWhenUsed/>
    <w:rsid w:val="0045750B"/>
    <w:rPr>
      <w:color w:val="605E5C"/>
      <w:shd w:val="clear" w:color="auto" w:fill="E1DFDD"/>
    </w:rPr>
  </w:style>
  <w:style w:type="paragraph" w:styleId="FootnoteText">
    <w:name w:val="footnote text"/>
    <w:basedOn w:val="Normal"/>
    <w:link w:val="FootnoteTextChar"/>
    <w:semiHidden/>
    <w:rsid w:val="000947BA"/>
    <w:pPr>
      <w:spacing w:after="0" w:line="240" w:lineRule="auto"/>
    </w:pPr>
    <w:rPr>
      <w:rFonts w:ascii="Times New Roman" w:eastAsia="Times New Roman" w:hAnsi="Times New Roman" w:cs="Times New Roman"/>
      <w:kern w:val="0"/>
      <w:sz w:val="20"/>
      <w:szCs w:val="20"/>
      <w:lang w:val="el-GR" w:eastAsia="el-GR"/>
      <w14:ligatures w14:val="none"/>
    </w:rPr>
  </w:style>
  <w:style w:type="character" w:customStyle="1" w:styleId="FootnoteTextChar">
    <w:name w:val="Footnote Text Char"/>
    <w:basedOn w:val="DefaultParagraphFont"/>
    <w:link w:val="FootnoteText"/>
    <w:semiHidden/>
    <w:rsid w:val="000947BA"/>
    <w:rPr>
      <w:rFonts w:ascii="Times New Roman" w:eastAsia="Times New Roman" w:hAnsi="Times New Roman" w:cs="Times New Roman"/>
      <w:kern w:val="0"/>
      <w:sz w:val="20"/>
      <w:szCs w:val="20"/>
      <w:lang w:val="el-GR" w:eastAsia="el-GR"/>
      <w14:ligatures w14:val="none"/>
    </w:rPr>
  </w:style>
  <w:style w:type="character" w:styleId="FootnoteReference">
    <w:name w:val="footnote reference"/>
    <w:basedOn w:val="DefaultParagraphFont"/>
    <w:semiHidden/>
    <w:rsid w:val="000947BA"/>
    <w:rPr>
      <w:vertAlign w:val="superscript"/>
    </w:rPr>
  </w:style>
  <w:style w:type="paragraph" w:styleId="Header">
    <w:name w:val="header"/>
    <w:basedOn w:val="Normal"/>
    <w:link w:val="HeaderChar"/>
    <w:uiPriority w:val="99"/>
    <w:unhideWhenUsed/>
    <w:rsid w:val="00023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4B7"/>
  </w:style>
  <w:style w:type="paragraph" w:styleId="Footer">
    <w:name w:val="footer"/>
    <w:basedOn w:val="Normal"/>
    <w:link w:val="FooterChar"/>
    <w:uiPriority w:val="99"/>
    <w:unhideWhenUsed/>
    <w:rsid w:val="00023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zaman@uop.gr" TargetMode="External"/><Relationship Id="rId13" Type="http://schemas.openxmlformats.org/officeDocument/2006/relationships/hyperlink" Target="https://robertwilson.com/t19dcgsruzsdm40qwfhml48isxb2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VxDBojxnKA&amp;t=2725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mazon.co.uk/Hans-Thies-Lehmann/e/B001HPY8AA/ref=ntt_athr_dp_pel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zfn_TC9GO0" TargetMode="External"/><Relationship Id="rId5" Type="http://schemas.openxmlformats.org/officeDocument/2006/relationships/webSettings" Target="webSettings.xml"/><Relationship Id="rId15" Type="http://schemas.openxmlformats.org/officeDocument/2006/relationships/hyperlink" Target="https://www.youtube.com/watch?v=B7JUH4zZoZI" TargetMode="External"/><Relationship Id="rId10" Type="http://schemas.openxmlformats.org/officeDocument/2006/relationships/hyperlink" Target="https://ikee.lib.auth.gr/record/337772/files/7.I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bhhY6fuN_i4&amp;list" TargetMode="External"/><Relationship Id="rId14" Type="http://schemas.openxmlformats.org/officeDocument/2006/relationships/hyperlink" Target="https://vimeo.com/660375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87AB-608C-4147-9AA1-DBBAB1BD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1410</Words>
  <Characters>8040</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Κανονισμοί του μαθήματος</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2</cp:revision>
  <dcterms:created xsi:type="dcterms:W3CDTF">2025-03-02T17:03:00Z</dcterms:created>
  <dcterms:modified xsi:type="dcterms:W3CDTF">2025-03-02T17:03:00Z</dcterms:modified>
</cp:coreProperties>
</file>